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3FD20" w14:textId="0378B6FC" w:rsidR="005C2B9E" w:rsidRDefault="00000000">
      <w:pPr>
        <w:spacing w:after="120" w:line="240" w:lineRule="auto"/>
        <w:jc w:val="center"/>
        <w:rPr>
          <w:rFonts w:ascii="Times New Roman" w:hAnsi="Times New Roman"/>
          <w:b/>
          <w:sz w:val="36"/>
          <w:szCs w:val="36"/>
        </w:rPr>
      </w:pPr>
      <w:r w:rsidRPr="00A26F3A">
        <w:rPr>
          <w:rFonts w:ascii="Times New Roman" w:hAnsi="Times New Roman"/>
          <w:b/>
          <w:sz w:val="36"/>
          <w:szCs w:val="36"/>
        </w:rPr>
        <w:t>EDITAL</w:t>
      </w:r>
    </w:p>
    <w:p w14:paraId="51029AE7" w14:textId="77777777" w:rsidR="005C2B9E" w:rsidRDefault="00000000">
      <w:pPr>
        <w:spacing w:after="120" w:line="240" w:lineRule="auto"/>
        <w:jc w:val="center"/>
      </w:pPr>
      <w:r>
        <w:rPr>
          <w:rFonts w:ascii="Times New Roman" w:hAnsi="Times New Roman"/>
          <w:b/>
          <w:sz w:val="24"/>
          <w:szCs w:val="24"/>
        </w:rPr>
        <w:t>PREGÃO ELETRÔNICO Nº 001/2026.</w:t>
      </w:r>
    </w:p>
    <w:p w14:paraId="6BFD676F" w14:textId="77777777" w:rsidR="005C2B9E" w:rsidRDefault="00000000">
      <w:pPr>
        <w:spacing w:after="120" w:line="240" w:lineRule="auto"/>
        <w:jc w:val="center"/>
      </w:pPr>
      <w:r>
        <w:rPr>
          <w:rFonts w:ascii="Times New Roman" w:hAnsi="Times New Roman"/>
          <w:b/>
          <w:sz w:val="24"/>
          <w:szCs w:val="24"/>
        </w:rPr>
        <w:t>ID da contratação no CidadES Nº 2025.065E0800001.01.0002.</w:t>
      </w:r>
    </w:p>
    <w:p w14:paraId="7375ED28" w14:textId="77777777" w:rsidR="005C2B9E" w:rsidRDefault="005C2B9E">
      <w:pPr>
        <w:spacing w:after="120" w:line="240" w:lineRule="auto"/>
        <w:jc w:val="center"/>
        <w:rPr>
          <w:rFonts w:ascii="Times New Roman" w:hAnsi="Times New Roman"/>
          <w:b/>
          <w:sz w:val="24"/>
          <w:szCs w:val="24"/>
        </w:rPr>
      </w:pPr>
    </w:p>
    <w:p w14:paraId="0E17FDA9" w14:textId="77777777" w:rsidR="005C2B9E" w:rsidRDefault="00000000">
      <w:pPr>
        <w:spacing w:before="120" w:after="0" w:line="240" w:lineRule="auto"/>
        <w:jc w:val="both"/>
        <w:rPr>
          <w:rFonts w:ascii="Times New Roman" w:eastAsia="Batang" w:hAnsi="Times New Roman"/>
          <w:sz w:val="24"/>
          <w:szCs w:val="24"/>
        </w:rPr>
      </w:pPr>
      <w:r>
        <w:rPr>
          <w:rFonts w:ascii="Times New Roman" w:eastAsia="Batang" w:hAnsi="Times New Roman"/>
          <w:sz w:val="24"/>
          <w:szCs w:val="24"/>
        </w:rPr>
        <w:t xml:space="preserve">O INSTITUTO DE PREVIDÊNCIA DOS SERVIDORES PÚBLICOS DO MUNICÍPIO DE SÃO GABRIEL DA PALHA, </w:t>
      </w:r>
      <w:r>
        <w:rPr>
          <w:rFonts w:ascii="Times New Roman" w:eastAsia="Times New Roman" w:hAnsi="Times New Roman"/>
          <w:sz w:val="24"/>
          <w:szCs w:val="24"/>
        </w:rPr>
        <w:t xml:space="preserve">situado à Rua Katarina Glazar, </w:t>
      </w:r>
      <w:r>
        <w:rPr>
          <w:rFonts w:ascii="Times New Roman" w:hAnsi="Times New Roman"/>
          <w:sz w:val="24"/>
          <w:szCs w:val="24"/>
        </w:rPr>
        <w:t>nº 166, Bairro Glória, São Gabriel da Palha - ES</w:t>
      </w:r>
      <w:r>
        <w:rPr>
          <w:rFonts w:ascii="Times New Roman" w:eastAsia="Batang" w:hAnsi="Times New Roman"/>
          <w:sz w:val="24"/>
          <w:szCs w:val="24"/>
        </w:rPr>
        <w:t>, de acordo com a Lei nº 14.133/2021, TORNA PÚBLICO que realizará licitação nos termos deste edital.</w:t>
      </w:r>
    </w:p>
    <w:p w14:paraId="496B060C" w14:textId="1D38EA50" w:rsidR="005C2B9E"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 xml:space="preserve">Prazo para envio da proposta: </w:t>
      </w:r>
      <w:r w:rsidR="00A26F3A">
        <w:rPr>
          <w:rFonts w:ascii="Times New Roman" w:eastAsia="Batang" w:hAnsi="Times New Roman"/>
          <w:b/>
          <w:bCs/>
          <w:sz w:val="24"/>
          <w:szCs w:val="24"/>
          <w:highlight w:val="yellow"/>
        </w:rPr>
        <w:t>0</w:t>
      </w:r>
      <w:r w:rsidR="00785B04">
        <w:rPr>
          <w:rFonts w:ascii="Times New Roman" w:eastAsia="Batang" w:hAnsi="Times New Roman"/>
          <w:b/>
          <w:bCs/>
          <w:sz w:val="24"/>
          <w:szCs w:val="24"/>
          <w:highlight w:val="yellow"/>
        </w:rPr>
        <w:t>7h59min</w:t>
      </w:r>
      <w:r>
        <w:rPr>
          <w:rFonts w:ascii="Times New Roman" w:eastAsia="Batang" w:hAnsi="Times New Roman"/>
          <w:b/>
          <w:bCs/>
          <w:sz w:val="24"/>
          <w:szCs w:val="24"/>
          <w:highlight w:val="yellow"/>
        </w:rPr>
        <w:t xml:space="preserve"> do dia </w:t>
      </w:r>
      <w:r w:rsidR="00A26F3A">
        <w:rPr>
          <w:rFonts w:ascii="Times New Roman" w:eastAsia="Batang" w:hAnsi="Times New Roman"/>
          <w:b/>
          <w:bCs/>
          <w:sz w:val="24"/>
          <w:szCs w:val="24"/>
          <w:highlight w:val="yellow"/>
        </w:rPr>
        <w:t xml:space="preserve">12 de fevereiro de </w:t>
      </w:r>
      <w:r>
        <w:rPr>
          <w:rFonts w:ascii="Times New Roman" w:eastAsia="Batang" w:hAnsi="Times New Roman"/>
          <w:b/>
          <w:bCs/>
          <w:sz w:val="24"/>
          <w:szCs w:val="24"/>
          <w:highlight w:val="yellow"/>
        </w:rPr>
        <w:t>2026</w:t>
      </w:r>
      <w:r>
        <w:rPr>
          <w:rFonts w:ascii="Times New Roman" w:eastAsia="Batang" w:hAnsi="Times New Roman"/>
          <w:b/>
          <w:sz w:val="24"/>
          <w:szCs w:val="24"/>
          <w:highlight w:val="yellow"/>
        </w:rPr>
        <w:t>.</w:t>
      </w:r>
    </w:p>
    <w:p w14:paraId="29D3E968" w14:textId="21A27EED" w:rsidR="005C2B9E"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Abertura das Propostas:</w:t>
      </w:r>
      <w:r>
        <w:rPr>
          <w:rFonts w:ascii="Calibri-Bold" w:eastAsia="Times New Roman" w:hAnsi="Calibri-Bold"/>
          <w:b/>
          <w:bCs/>
          <w:color w:val="000000"/>
          <w:sz w:val="24"/>
          <w:szCs w:val="24"/>
          <w:lang w:eastAsia="pt-BR"/>
        </w:rPr>
        <w:t xml:space="preserve"> </w:t>
      </w:r>
      <w:r w:rsidR="00A26F3A">
        <w:rPr>
          <w:rFonts w:ascii="Times New Roman" w:eastAsia="Batang" w:hAnsi="Times New Roman"/>
          <w:b/>
          <w:sz w:val="24"/>
          <w:szCs w:val="24"/>
          <w:highlight w:val="yellow"/>
        </w:rPr>
        <w:t>08</w:t>
      </w:r>
      <w:r w:rsidR="00785B04">
        <w:rPr>
          <w:rFonts w:ascii="Times New Roman" w:eastAsia="Batang" w:hAnsi="Times New Roman"/>
          <w:b/>
          <w:sz w:val="24"/>
          <w:szCs w:val="24"/>
          <w:highlight w:val="yellow"/>
        </w:rPr>
        <w:t>h</w:t>
      </w:r>
      <w:r w:rsidR="00A26F3A">
        <w:rPr>
          <w:rFonts w:ascii="Times New Roman" w:eastAsia="Batang" w:hAnsi="Times New Roman"/>
          <w:b/>
          <w:sz w:val="24"/>
          <w:szCs w:val="24"/>
          <w:highlight w:val="yellow"/>
        </w:rPr>
        <w:t>0</w:t>
      </w:r>
      <w:r w:rsidR="00785B04">
        <w:rPr>
          <w:rFonts w:ascii="Times New Roman" w:eastAsia="Batang" w:hAnsi="Times New Roman"/>
          <w:b/>
          <w:sz w:val="24"/>
          <w:szCs w:val="24"/>
          <w:highlight w:val="yellow"/>
        </w:rPr>
        <w:t>0min</w:t>
      </w:r>
      <w:r>
        <w:rPr>
          <w:rFonts w:ascii="Times New Roman" w:eastAsia="Batang" w:hAnsi="Times New Roman"/>
          <w:b/>
          <w:sz w:val="24"/>
          <w:szCs w:val="24"/>
          <w:highlight w:val="yellow"/>
        </w:rPr>
        <w:t xml:space="preserve"> do </w:t>
      </w:r>
      <w:r w:rsidR="00A26F3A">
        <w:rPr>
          <w:rFonts w:ascii="Times New Roman" w:eastAsia="Batang" w:hAnsi="Times New Roman"/>
          <w:b/>
          <w:bCs/>
          <w:sz w:val="24"/>
          <w:szCs w:val="24"/>
          <w:highlight w:val="yellow"/>
        </w:rPr>
        <w:t>dia 12 de fevereiro de 2026</w:t>
      </w:r>
      <w:r>
        <w:rPr>
          <w:rFonts w:ascii="Times New Roman" w:eastAsia="Batang" w:hAnsi="Times New Roman"/>
          <w:b/>
          <w:sz w:val="24"/>
          <w:szCs w:val="24"/>
          <w:highlight w:val="yellow"/>
        </w:rPr>
        <w:t>.</w:t>
      </w:r>
    </w:p>
    <w:p w14:paraId="41ADF59A" w14:textId="2E4E5465" w:rsidR="005C2B9E"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Sessão Pública de Disputa:</w:t>
      </w:r>
      <w:r>
        <w:rPr>
          <w:rFonts w:ascii="Calibri-Bold" w:eastAsia="Times New Roman" w:hAnsi="Calibri-Bold"/>
          <w:b/>
          <w:bCs/>
          <w:color w:val="000000"/>
          <w:sz w:val="24"/>
          <w:szCs w:val="24"/>
          <w:lang w:eastAsia="pt-BR"/>
        </w:rPr>
        <w:t xml:space="preserve"> </w:t>
      </w:r>
      <w:r w:rsidR="00785B04">
        <w:rPr>
          <w:rFonts w:ascii="Times New Roman" w:eastAsia="Batang" w:hAnsi="Times New Roman"/>
          <w:b/>
          <w:sz w:val="24"/>
          <w:szCs w:val="24"/>
          <w:highlight w:val="yellow"/>
        </w:rPr>
        <w:t>08h</w:t>
      </w:r>
      <w:r w:rsidR="00A26F3A">
        <w:rPr>
          <w:rFonts w:ascii="Times New Roman" w:eastAsia="Batang" w:hAnsi="Times New Roman"/>
          <w:b/>
          <w:sz w:val="24"/>
          <w:szCs w:val="24"/>
          <w:highlight w:val="yellow"/>
        </w:rPr>
        <w:t>0</w:t>
      </w:r>
      <w:r w:rsidR="00785B04">
        <w:rPr>
          <w:rFonts w:ascii="Times New Roman" w:eastAsia="Batang" w:hAnsi="Times New Roman"/>
          <w:b/>
          <w:sz w:val="24"/>
          <w:szCs w:val="24"/>
          <w:highlight w:val="yellow"/>
        </w:rPr>
        <w:t>0min</w:t>
      </w:r>
      <w:r>
        <w:rPr>
          <w:rFonts w:ascii="Times New Roman" w:eastAsia="Batang" w:hAnsi="Times New Roman"/>
          <w:b/>
          <w:sz w:val="24"/>
          <w:szCs w:val="24"/>
          <w:highlight w:val="yellow"/>
        </w:rPr>
        <w:t xml:space="preserve"> do </w:t>
      </w:r>
      <w:r w:rsidR="00785B04">
        <w:rPr>
          <w:rFonts w:ascii="Times New Roman" w:eastAsia="Batang" w:hAnsi="Times New Roman"/>
          <w:b/>
          <w:bCs/>
          <w:sz w:val="24"/>
          <w:szCs w:val="24"/>
          <w:highlight w:val="yellow"/>
        </w:rPr>
        <w:t>dia 12 de fevereiro de 2026</w:t>
      </w:r>
      <w:r w:rsidR="00785B04">
        <w:rPr>
          <w:rFonts w:ascii="Times New Roman" w:eastAsia="Batang" w:hAnsi="Times New Roman"/>
          <w:b/>
          <w:bCs/>
          <w:sz w:val="24"/>
          <w:szCs w:val="24"/>
        </w:rPr>
        <w:t>.</w:t>
      </w:r>
    </w:p>
    <w:p w14:paraId="49B3DEF9" w14:textId="77777777" w:rsidR="005C2B9E"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Referência de tempo: Horário de Brasília.</w:t>
      </w:r>
    </w:p>
    <w:p w14:paraId="147DE1FB" w14:textId="77777777" w:rsidR="005C2B9E" w:rsidRDefault="005C2B9E">
      <w:pPr>
        <w:pBdr>
          <w:bottom w:val="double" w:sz="4" w:space="1" w:color="000000"/>
        </w:pBdr>
        <w:spacing w:before="120" w:after="0" w:line="240" w:lineRule="auto"/>
        <w:rPr>
          <w:rFonts w:ascii="Times New Roman" w:hAnsi="Times New Roman"/>
          <w:b/>
          <w:sz w:val="24"/>
          <w:szCs w:val="24"/>
        </w:rPr>
      </w:pPr>
    </w:p>
    <w:p w14:paraId="3C5326C3" w14:textId="77777777" w:rsidR="005C2B9E" w:rsidRDefault="00000000">
      <w:pPr>
        <w:pBdr>
          <w:bottom w:val="double" w:sz="4" w:space="1" w:color="000000"/>
        </w:pBdr>
        <w:spacing w:before="120" w:after="0" w:line="240" w:lineRule="auto"/>
        <w:rPr>
          <w:rFonts w:ascii="Times New Roman" w:hAnsi="Times New Roman"/>
          <w:b/>
          <w:sz w:val="24"/>
          <w:szCs w:val="24"/>
        </w:rPr>
      </w:pPr>
      <w:r>
        <w:rPr>
          <w:rFonts w:ascii="Times New Roman" w:hAnsi="Times New Roman"/>
          <w:b/>
          <w:sz w:val="24"/>
          <w:szCs w:val="24"/>
        </w:rPr>
        <w:t>I – CONDIÇÕES GERAIS</w:t>
      </w:r>
    </w:p>
    <w:p w14:paraId="5D02D2BE" w14:textId="77777777" w:rsidR="005C2B9E" w:rsidRDefault="00000000">
      <w:pPr>
        <w:pStyle w:val="PargrafodaLista"/>
        <w:numPr>
          <w:ilvl w:val="1"/>
          <w:numId w:val="4"/>
        </w:numPr>
        <w:tabs>
          <w:tab w:val="left" w:pos="602"/>
        </w:tabs>
        <w:spacing w:before="120" w:after="0" w:line="240" w:lineRule="auto"/>
        <w:ind w:left="0" w:right="-142" w:firstLine="0"/>
        <w:jc w:val="both"/>
        <w:rPr>
          <w:rFonts w:ascii="Times New Roman" w:eastAsia="Batang" w:hAnsi="Times New Roman"/>
          <w:b/>
          <w:sz w:val="24"/>
          <w:szCs w:val="24"/>
        </w:rPr>
      </w:pPr>
      <w:r>
        <w:rPr>
          <w:rFonts w:ascii="Times New Roman" w:hAnsi="Times New Roman"/>
          <w:b/>
          <w:sz w:val="24"/>
          <w:szCs w:val="24"/>
        </w:rPr>
        <w:t>-</w:t>
      </w:r>
      <w:r>
        <w:rPr>
          <w:rFonts w:ascii="Times New Roman" w:hAnsi="Times New Roman"/>
          <w:sz w:val="24"/>
          <w:szCs w:val="24"/>
        </w:rPr>
        <w:t xml:space="preserve"> A presente Licitação reger-se-á pelas condições gerais e especiais constantes da </w:t>
      </w:r>
      <w:r>
        <w:rPr>
          <w:rFonts w:ascii="Times New Roman" w:hAnsi="Times New Roman"/>
          <w:b/>
          <w:sz w:val="24"/>
          <w:szCs w:val="24"/>
        </w:rPr>
        <w:t xml:space="preserve">Lei nº </w:t>
      </w:r>
      <w:r>
        <w:rPr>
          <w:rFonts w:ascii="Times New Roman" w:eastAsia="Batang" w:hAnsi="Times New Roman"/>
          <w:b/>
          <w:bCs/>
          <w:sz w:val="24"/>
          <w:szCs w:val="24"/>
          <w:lang w:eastAsia="en-US"/>
        </w:rPr>
        <w:t>14.133</w:t>
      </w:r>
      <w:r>
        <w:rPr>
          <w:rFonts w:ascii="Times New Roman" w:hAnsi="Times New Roman"/>
          <w:sz w:val="24"/>
          <w:szCs w:val="24"/>
        </w:rPr>
        <w:t>, de 01 de abril de 2021.</w:t>
      </w:r>
    </w:p>
    <w:p w14:paraId="505B9CF0" w14:textId="77777777" w:rsidR="005C2B9E" w:rsidRDefault="00000000">
      <w:pPr>
        <w:pStyle w:val="PargrafodaLista"/>
        <w:numPr>
          <w:ilvl w:val="1"/>
          <w:numId w:val="4"/>
        </w:numPr>
        <w:tabs>
          <w:tab w:val="left" w:pos="602"/>
        </w:tabs>
        <w:spacing w:before="120" w:after="0" w:line="240" w:lineRule="auto"/>
        <w:ind w:left="0" w:right="-142" w:firstLine="0"/>
        <w:jc w:val="both"/>
        <w:rPr>
          <w:rFonts w:ascii="Times New Roman" w:eastAsia="Batang" w:hAnsi="Times New Roman"/>
          <w:bCs/>
          <w:sz w:val="24"/>
          <w:szCs w:val="24"/>
        </w:rPr>
      </w:pPr>
      <w:r>
        <w:rPr>
          <w:rFonts w:ascii="Times New Roman" w:hAnsi="Times New Roman"/>
          <w:b/>
          <w:sz w:val="24"/>
          <w:szCs w:val="24"/>
        </w:rPr>
        <w:t>-</w:t>
      </w:r>
      <w:r>
        <w:rPr>
          <w:rFonts w:ascii="Times New Roman" w:eastAsia="Batang" w:hAnsi="Times New Roman"/>
          <w:b/>
          <w:sz w:val="24"/>
          <w:szCs w:val="24"/>
        </w:rPr>
        <w:t xml:space="preserve"> </w:t>
      </w:r>
      <w:r>
        <w:rPr>
          <w:rFonts w:ascii="Times New Roman" w:eastAsia="Batang" w:hAnsi="Times New Roman"/>
          <w:sz w:val="24"/>
          <w:szCs w:val="24"/>
          <w:lang w:eastAsia="en-US"/>
        </w:rPr>
        <w:t>Em caso de eventual diferença entre a(s) especificação(ões) do objeto descritas no “Sistema de Compras do Governo Federal (www.gov.br/compras)” e as especificações constantes neste edital de pregão eletrônico, prevalecerão as últimas especificações.</w:t>
      </w:r>
    </w:p>
    <w:p w14:paraId="65A07BD3" w14:textId="77777777" w:rsidR="005C2B9E" w:rsidRDefault="00000000">
      <w:pPr>
        <w:pStyle w:val="PargrafodaLista"/>
        <w:numPr>
          <w:ilvl w:val="1"/>
          <w:numId w:val="4"/>
        </w:numPr>
        <w:tabs>
          <w:tab w:val="left" w:pos="602"/>
        </w:tabs>
        <w:spacing w:before="120" w:after="0" w:line="240" w:lineRule="auto"/>
        <w:ind w:left="0" w:right="-142" w:firstLine="0"/>
        <w:jc w:val="both"/>
        <w:rPr>
          <w:rFonts w:ascii="Times New Roman" w:eastAsia="Batang" w:hAnsi="Times New Roman"/>
          <w:bCs/>
          <w:sz w:val="24"/>
          <w:szCs w:val="24"/>
        </w:rPr>
      </w:pPr>
      <w:r>
        <w:rPr>
          <w:rFonts w:ascii="Times New Roman" w:eastAsia="Batang" w:hAnsi="Times New Roman"/>
          <w:bCs/>
          <w:sz w:val="24"/>
          <w:szCs w:val="24"/>
        </w:rPr>
        <w:t xml:space="preserve">- </w:t>
      </w:r>
      <w:r>
        <w:rPr>
          <w:rFonts w:ascii="Times New Roman" w:eastAsia="Batang" w:hAnsi="Times New Roman"/>
          <w:sz w:val="24"/>
          <w:szCs w:val="24"/>
          <w:lang w:eastAsia="en-US"/>
        </w:rPr>
        <w:t>É de responsabilidade do licitante conferir a exatidão dos seus dados cadastrais no SICAF, pois a habilitação jurídica, fiscal, social e trabalhista e econômico-financeira, será aferida por meio deste Sistema.</w:t>
      </w:r>
    </w:p>
    <w:p w14:paraId="58BB4948" w14:textId="77777777" w:rsidR="005C2B9E" w:rsidRDefault="005C2B9E">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ind w:right="-142"/>
        <w:rPr>
          <w:rFonts w:ascii="Times New Roman" w:eastAsia="Batang" w:hAnsi="Times New Roman"/>
          <w:b/>
          <w:sz w:val="24"/>
          <w:szCs w:val="24"/>
        </w:rPr>
      </w:pPr>
    </w:p>
    <w:p w14:paraId="23F7441F" w14:textId="77777777" w:rsidR="005C2B9E"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ind w:right="-142"/>
        <w:rPr>
          <w:rFonts w:ascii="Times New Roman" w:eastAsia="Batang" w:hAnsi="Times New Roman"/>
          <w:b/>
          <w:sz w:val="24"/>
          <w:szCs w:val="24"/>
        </w:rPr>
      </w:pPr>
      <w:r>
        <w:rPr>
          <w:rFonts w:ascii="Times New Roman" w:eastAsia="Batang" w:hAnsi="Times New Roman"/>
          <w:b/>
          <w:sz w:val="24"/>
          <w:szCs w:val="24"/>
        </w:rPr>
        <w:t>II – FUNDAMENTAÇÃO</w:t>
      </w:r>
    </w:p>
    <w:p w14:paraId="5FFD217E"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2.1 – </w:t>
      </w:r>
      <w:r>
        <w:rPr>
          <w:rFonts w:ascii="Times New Roman" w:eastAsia="Batang" w:hAnsi="Times New Roman"/>
          <w:sz w:val="24"/>
          <w:szCs w:val="24"/>
        </w:rPr>
        <w:t>A presente licitação tem como fundamento a legislação citada bem como respeitar os seguintes preceitos:</w:t>
      </w:r>
    </w:p>
    <w:p w14:paraId="0CFABC83"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 xml:space="preserve">a) </w:t>
      </w:r>
      <w:r>
        <w:rPr>
          <w:rFonts w:ascii="Times New Roman" w:eastAsia="Batang" w:hAnsi="Times New Roman"/>
          <w:sz w:val="24"/>
          <w:szCs w:val="24"/>
        </w:rPr>
        <w:t xml:space="preserve">Processo Administrativo </w:t>
      </w:r>
      <w:r>
        <w:rPr>
          <w:rFonts w:ascii="Times New Roman" w:eastAsia="Batang" w:hAnsi="Times New Roman"/>
          <w:b/>
          <w:sz w:val="24"/>
          <w:szCs w:val="24"/>
        </w:rPr>
        <w:t xml:space="preserve">nº 004/2026 </w:t>
      </w:r>
      <w:r>
        <w:rPr>
          <w:rFonts w:ascii="Times New Roman" w:eastAsia="Batang" w:hAnsi="Times New Roman"/>
          <w:sz w:val="24"/>
          <w:szCs w:val="24"/>
        </w:rPr>
        <w:t>de 20/01/2026.</w:t>
      </w:r>
    </w:p>
    <w:p w14:paraId="0A1EA9FC"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 xml:space="preserve">b) </w:t>
      </w:r>
      <w:r>
        <w:rPr>
          <w:rFonts w:ascii="Times New Roman" w:eastAsia="Batang" w:hAnsi="Times New Roman"/>
          <w:sz w:val="24"/>
          <w:szCs w:val="24"/>
        </w:rPr>
        <w:t xml:space="preserve">Modalidade: Pregão Eletrônico </w:t>
      </w:r>
      <w:r>
        <w:rPr>
          <w:rFonts w:ascii="Times New Roman" w:eastAsia="Batang" w:hAnsi="Times New Roman"/>
          <w:b/>
          <w:sz w:val="24"/>
          <w:szCs w:val="24"/>
        </w:rPr>
        <w:t>nº 001/2026.</w:t>
      </w:r>
    </w:p>
    <w:p w14:paraId="556BEB75"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c) </w:t>
      </w:r>
      <w:r>
        <w:rPr>
          <w:rFonts w:ascii="Times New Roman" w:eastAsia="Batang" w:hAnsi="Times New Roman"/>
          <w:sz w:val="24"/>
          <w:szCs w:val="24"/>
        </w:rPr>
        <w:t>Critério de Julgamento:</w:t>
      </w:r>
      <w:r>
        <w:rPr>
          <w:rFonts w:ascii="Times New Roman" w:eastAsia="Batang" w:hAnsi="Times New Roman"/>
          <w:b/>
          <w:sz w:val="24"/>
          <w:szCs w:val="24"/>
        </w:rPr>
        <w:t xml:space="preserve"> M</w:t>
      </w:r>
      <w:r>
        <w:rPr>
          <w:rFonts w:ascii="Times New Roman" w:eastAsia="Batang" w:hAnsi="Times New Roman"/>
          <w:b/>
          <w:bCs/>
        </w:rPr>
        <w:t>ENOR PREÇO GLOBAL</w:t>
      </w:r>
      <w:r>
        <w:rPr>
          <w:rFonts w:ascii="Times New Roman" w:eastAsia="Batang" w:hAnsi="Times New Roman"/>
          <w:b/>
          <w:sz w:val="24"/>
          <w:szCs w:val="24"/>
        </w:rPr>
        <w:t>.</w:t>
      </w:r>
    </w:p>
    <w:p w14:paraId="2834C936"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bCs/>
          <w:sz w:val="24"/>
          <w:szCs w:val="24"/>
        </w:rPr>
      </w:pPr>
      <w:r>
        <w:rPr>
          <w:rFonts w:ascii="Times New Roman" w:eastAsia="Batang" w:hAnsi="Times New Roman"/>
          <w:b/>
          <w:sz w:val="24"/>
          <w:szCs w:val="24"/>
        </w:rPr>
        <w:t xml:space="preserve">d) </w:t>
      </w:r>
      <w:r>
        <w:rPr>
          <w:rFonts w:ascii="Times New Roman" w:eastAsia="Batang" w:hAnsi="Times New Roman"/>
          <w:sz w:val="24"/>
          <w:szCs w:val="24"/>
        </w:rPr>
        <w:t xml:space="preserve">Modo de disputa: </w:t>
      </w:r>
      <w:r>
        <w:rPr>
          <w:rFonts w:ascii="Times New Roman" w:eastAsia="Batang" w:hAnsi="Times New Roman"/>
          <w:b/>
          <w:bCs/>
          <w:sz w:val="24"/>
          <w:szCs w:val="24"/>
        </w:rPr>
        <w:t>ABERTO</w:t>
      </w:r>
    </w:p>
    <w:p w14:paraId="0C17F111"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 xml:space="preserve">e) </w:t>
      </w:r>
      <w:r>
        <w:rPr>
          <w:rFonts w:ascii="Times New Roman" w:eastAsia="Batang" w:hAnsi="Times New Roman"/>
          <w:sz w:val="24"/>
          <w:szCs w:val="24"/>
        </w:rPr>
        <w:t>Local: Portal Compras Gov -</w:t>
      </w:r>
      <w:r>
        <w:rPr>
          <w:rFonts w:ascii="Verdana" w:hAnsi="Verdana" w:cs="Arial"/>
          <w:color w:val="000000"/>
          <w:sz w:val="20"/>
          <w:szCs w:val="20"/>
        </w:rPr>
        <w:t xml:space="preserve"> </w:t>
      </w:r>
      <w:r>
        <w:rPr>
          <w:rFonts w:ascii="Times New Roman" w:hAnsi="Times New Roman"/>
          <w:b/>
          <w:bCs/>
          <w:sz w:val="24"/>
          <w:szCs w:val="24"/>
          <w:u w:val="single"/>
        </w:rPr>
        <w:t>www.gov.br/compras</w:t>
      </w:r>
      <w:r>
        <w:rPr>
          <w:rFonts w:ascii="Times New Roman" w:hAnsi="Times New Roman"/>
          <w:b/>
          <w:bCs/>
          <w:sz w:val="24"/>
          <w:szCs w:val="24"/>
        </w:rPr>
        <w:t xml:space="preserve"> UASG - 929336</w:t>
      </w:r>
    </w:p>
    <w:p w14:paraId="0D87C17E" w14:textId="77777777" w:rsidR="005C2B9E" w:rsidRDefault="00000000">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120" w:after="0" w:line="240" w:lineRule="auto"/>
        <w:rPr>
          <w:rFonts w:eastAsia="Batang"/>
          <w:b/>
          <w:szCs w:val="24"/>
          <w:u w:val="single"/>
        </w:rPr>
      </w:pPr>
      <w:r>
        <w:rPr>
          <w:rFonts w:eastAsia="Batang"/>
          <w:b/>
          <w:szCs w:val="24"/>
        </w:rPr>
        <w:t xml:space="preserve">f) </w:t>
      </w:r>
      <w:r>
        <w:rPr>
          <w:rFonts w:eastAsia="Batang"/>
          <w:szCs w:val="24"/>
        </w:rPr>
        <w:t>Ato de designação do Pregoeiro e equipe de apoio: Lei 3.231/2024 c/c Termo de Cooperação Técnica c/c Portaria nº 7.241/2023.</w:t>
      </w:r>
    </w:p>
    <w:p w14:paraId="2C16A79C" w14:textId="77777777" w:rsidR="005C2B9E" w:rsidRDefault="005C2B9E">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120" w:after="0" w:line="240" w:lineRule="auto"/>
        <w:rPr>
          <w:rFonts w:eastAsia="Batang"/>
          <w:b/>
          <w:szCs w:val="24"/>
          <w:u w:val="single"/>
        </w:rPr>
      </w:pPr>
    </w:p>
    <w:p w14:paraId="7C28E548" w14:textId="77777777" w:rsidR="005C2B9E" w:rsidRDefault="005C2B9E">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120" w:after="0" w:line="240" w:lineRule="auto"/>
        <w:rPr>
          <w:rFonts w:eastAsia="Batang"/>
          <w:b/>
          <w:szCs w:val="24"/>
          <w:u w:val="single"/>
        </w:rPr>
      </w:pPr>
    </w:p>
    <w:p w14:paraId="47F104A6" w14:textId="77777777" w:rsidR="005C2B9E" w:rsidRDefault="00000000">
      <w:pPr>
        <w:pBdr>
          <w:bottom w:val="double" w:sz="4" w:space="1" w:color="000000"/>
        </w:pBd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rPr>
          <w:rFonts w:ascii="Times New Roman" w:eastAsia="Batang" w:hAnsi="Times New Roman"/>
          <w:b/>
          <w:sz w:val="24"/>
          <w:szCs w:val="24"/>
        </w:rPr>
      </w:pPr>
      <w:r>
        <w:rPr>
          <w:rFonts w:ascii="Times New Roman" w:eastAsia="Batang" w:hAnsi="Times New Roman"/>
          <w:b/>
          <w:sz w:val="24"/>
          <w:szCs w:val="24"/>
        </w:rPr>
        <w:lastRenderedPageBreak/>
        <w:t>III – OBJETO</w:t>
      </w:r>
    </w:p>
    <w:p w14:paraId="044C3A23"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color w:val="FF0000"/>
          <w:sz w:val="24"/>
          <w:szCs w:val="24"/>
        </w:rPr>
      </w:pPr>
      <w:r>
        <w:rPr>
          <w:rFonts w:ascii="Times New Roman" w:eastAsia="Batang" w:hAnsi="Times New Roman"/>
          <w:b/>
          <w:sz w:val="24"/>
          <w:szCs w:val="24"/>
        </w:rPr>
        <w:t xml:space="preserve">3.1 </w:t>
      </w:r>
      <w:r>
        <w:rPr>
          <w:rFonts w:ascii="Times New Roman" w:eastAsia="Batang" w:hAnsi="Times New Roman"/>
          <w:sz w:val="24"/>
          <w:szCs w:val="24"/>
        </w:rPr>
        <w:t xml:space="preserve">– </w:t>
      </w:r>
      <w:r>
        <w:rPr>
          <w:rFonts w:ascii="Times New Roman" w:eastAsia="Times New Roman" w:hAnsi="Times New Roman"/>
          <w:sz w:val="24"/>
          <w:szCs w:val="24"/>
        </w:rPr>
        <w:t>C</w:t>
      </w:r>
      <w:r>
        <w:rPr>
          <w:rFonts w:ascii="Times New Roman" w:eastAsia="Times New Roman" w:hAnsi="Times New Roman" w:cs="Arial"/>
          <w:sz w:val="24"/>
          <w:szCs w:val="24"/>
        </w:rPr>
        <w:t>ontratação de empresa especializada para prestação de serviços de Locação de Sistema de Gerenciamento de Regime Próprio de Previdência Social, abrangendo: Instalação, Conversão de Dados, Implantação do Sistema, Manutenção, Atualização, Suporte Técnico e Treinamento dos Usuários</w:t>
      </w:r>
      <w:r>
        <w:rPr>
          <w:rFonts w:ascii="Times New Roman" w:eastAsia="Times New Roman" w:hAnsi="Times New Roman" w:cs="Arial"/>
          <w:sz w:val="24"/>
          <w:szCs w:val="24"/>
          <w:shd w:val="clear" w:color="auto" w:fill="FFFFFF"/>
        </w:rPr>
        <w:t>, para atendimento as necessidades administrativas do Instituto de Previdência dos Servidores Públicos do Município de São Gabriel da Palha – SGP-PREV</w:t>
      </w:r>
      <w:r>
        <w:rPr>
          <w:rFonts w:ascii="Times New Roman" w:eastAsia="Times New Roman" w:hAnsi="Times New Roman" w:cs="Arial"/>
          <w:bCs/>
          <w:sz w:val="24"/>
          <w:szCs w:val="24"/>
          <w:shd w:val="clear" w:color="auto" w:fill="FFFFFF"/>
        </w:rPr>
        <w:t>.</w:t>
      </w:r>
    </w:p>
    <w:p w14:paraId="7B5EFE6B"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3.2 –</w:t>
      </w:r>
      <w:r>
        <w:rPr>
          <w:rFonts w:ascii="Times New Roman" w:eastAsia="Batang" w:hAnsi="Times New Roman"/>
          <w:sz w:val="24"/>
          <w:szCs w:val="24"/>
        </w:rPr>
        <w:t xml:space="preserve"> As especificações e quantidades dos itens ora licitados se encontram discriminados no ANEXO III - Modelo de Proposta.</w:t>
      </w:r>
    </w:p>
    <w:p w14:paraId="0653476F" w14:textId="77777777" w:rsidR="005C2B9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color w:val="FF0000"/>
          <w:sz w:val="24"/>
          <w:szCs w:val="24"/>
        </w:rPr>
      </w:pPr>
      <w:r>
        <w:rPr>
          <w:rFonts w:ascii="Times New Roman" w:eastAsia="Batang" w:hAnsi="Times New Roman"/>
          <w:b/>
          <w:bCs/>
          <w:sz w:val="24"/>
          <w:szCs w:val="24"/>
        </w:rPr>
        <w:t>3.3</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O sistema ofertado deverá possuir módulos interligados, objetivando principalmente a total compatibilidade, a eficiência da troca de informações e a integração com o sistema de Recursos Humanos, utilizado pela Prefeitura Municipal;</w:t>
      </w:r>
    </w:p>
    <w:p w14:paraId="43E82AD7" w14:textId="77777777" w:rsidR="005C2B9E" w:rsidRDefault="005C2B9E">
      <w:pPr>
        <w:tabs>
          <w:tab w:val="left" w:pos="10348"/>
        </w:tabs>
        <w:spacing w:after="0" w:line="240" w:lineRule="auto"/>
        <w:ind w:right="-29"/>
        <w:jc w:val="both"/>
        <w:rPr>
          <w:rFonts w:ascii="Times New Roman" w:hAnsi="Times New Roman"/>
          <w:sz w:val="24"/>
          <w:szCs w:val="24"/>
        </w:rPr>
      </w:pPr>
    </w:p>
    <w:p w14:paraId="3CC058D1" w14:textId="77777777" w:rsidR="005C2B9E" w:rsidRDefault="00000000">
      <w:pPr>
        <w:pBdr>
          <w:bottom w:val="double" w:sz="4" w:space="0" w:color="000000"/>
        </w:pBdr>
        <w:tabs>
          <w:tab w:val="left" w:pos="10348"/>
        </w:tabs>
        <w:spacing w:before="120" w:after="0" w:line="240" w:lineRule="auto"/>
        <w:ind w:right="-29"/>
        <w:rPr>
          <w:rFonts w:ascii="Times New Roman" w:eastAsia="Batang" w:hAnsi="Times New Roman"/>
          <w:sz w:val="24"/>
          <w:szCs w:val="24"/>
        </w:rPr>
      </w:pPr>
      <w:r>
        <w:rPr>
          <w:rFonts w:ascii="Times New Roman" w:eastAsia="Batang" w:hAnsi="Times New Roman"/>
          <w:b/>
          <w:sz w:val="24"/>
          <w:szCs w:val="24"/>
        </w:rPr>
        <w:t>IV – SESSÃO PÚBLICA DO PREGÃO ELETRÔNICO</w:t>
      </w:r>
    </w:p>
    <w:p w14:paraId="3A1C142E" w14:textId="77777777" w:rsidR="005C2B9E" w:rsidRDefault="00000000">
      <w:pPr>
        <w:pStyle w:val="Corpodetexto3"/>
        <w:tabs>
          <w:tab w:val="left" w:pos="658"/>
          <w:tab w:val="left" w:pos="1926"/>
          <w:tab w:val="left" w:pos="2466"/>
          <w:tab w:val="left" w:pos="3186"/>
          <w:tab w:val="left" w:pos="3906"/>
          <w:tab w:val="left" w:pos="4626"/>
          <w:tab w:val="left" w:pos="5346"/>
        </w:tabs>
        <w:spacing w:before="120"/>
        <w:rPr>
          <w:rFonts w:ascii="Times New Roman" w:eastAsia="Batang" w:hAnsi="Times New Roman" w:cs="Times New Roman"/>
          <w:b/>
          <w:sz w:val="24"/>
          <w:szCs w:val="24"/>
        </w:rPr>
      </w:pPr>
      <w:r>
        <w:rPr>
          <w:rFonts w:ascii="Times New Roman" w:eastAsia="Batang" w:hAnsi="Times New Roman" w:cs="Times New Roman"/>
          <w:b/>
          <w:sz w:val="24"/>
          <w:szCs w:val="24"/>
        </w:rPr>
        <w:t>4.1 –</w:t>
      </w:r>
      <w:r>
        <w:rPr>
          <w:rFonts w:ascii="Times New Roman" w:eastAsia="Batang" w:hAnsi="Times New Roman" w:cs="Times New Roman"/>
          <w:sz w:val="24"/>
          <w:szCs w:val="24"/>
        </w:rPr>
        <w:t xml:space="preserve"> O procedimento do Pregão Eletrônico será realizado por meio de sessão pública no Sistema de Compras do Governo Federal (www.gov.br/compras), mediante condições de segurança, criptografia e autenticação em todas as suas fases.</w:t>
      </w:r>
    </w:p>
    <w:p w14:paraId="623F02C6" w14:textId="77777777" w:rsidR="005C2B9E" w:rsidRDefault="00000000">
      <w:pPr>
        <w:pStyle w:val="Corpodetexto3"/>
        <w:tabs>
          <w:tab w:val="left" w:pos="658"/>
          <w:tab w:val="left" w:pos="1926"/>
          <w:tab w:val="left" w:pos="2466"/>
          <w:tab w:val="left" w:pos="3186"/>
          <w:tab w:val="left" w:pos="3906"/>
          <w:tab w:val="left" w:pos="4626"/>
          <w:tab w:val="left" w:pos="5346"/>
        </w:tabs>
        <w:spacing w:before="120"/>
        <w:rPr>
          <w:rFonts w:ascii="Times New Roman" w:eastAsia="Batang" w:hAnsi="Times New Roman" w:cs="Times New Roman"/>
          <w:sz w:val="24"/>
          <w:szCs w:val="24"/>
        </w:rPr>
      </w:pPr>
      <w:r>
        <w:rPr>
          <w:rFonts w:ascii="Times New Roman" w:eastAsia="Batang" w:hAnsi="Times New Roman" w:cs="Times New Roman"/>
          <w:b/>
          <w:sz w:val="24"/>
          <w:szCs w:val="24"/>
        </w:rPr>
        <w:t>4.2 –</w:t>
      </w:r>
      <w:r>
        <w:rPr>
          <w:rFonts w:ascii="Times New Roman" w:eastAsia="Batang" w:hAnsi="Times New Roman" w:cs="Times New Roman"/>
          <w:sz w:val="24"/>
          <w:szCs w:val="24"/>
        </w:rPr>
        <w:t xml:space="preserve"> Todos os documentos de habilitação e o Modelo de Proposta (ANEXO III) devem ser inseridos no sistema após a sessão pública de disputa.</w:t>
      </w:r>
    </w:p>
    <w:p w14:paraId="265A4C82" w14:textId="77777777" w:rsidR="005C2B9E" w:rsidRDefault="00000000">
      <w:pPr>
        <w:pStyle w:val="Corpodetexto3"/>
        <w:tabs>
          <w:tab w:val="left" w:pos="658"/>
          <w:tab w:val="left" w:pos="1926"/>
          <w:tab w:val="left" w:pos="2466"/>
          <w:tab w:val="left" w:pos="3186"/>
          <w:tab w:val="left" w:pos="3906"/>
          <w:tab w:val="left" w:pos="4626"/>
          <w:tab w:val="left" w:pos="5346"/>
        </w:tabs>
        <w:spacing w:before="120"/>
        <w:rPr>
          <w:rFonts w:ascii="Times New Roman" w:eastAsia="Batang" w:hAnsi="Times New Roman" w:cs="Times New Roman"/>
          <w:sz w:val="24"/>
          <w:szCs w:val="24"/>
        </w:rPr>
      </w:pPr>
      <w:r>
        <w:rPr>
          <w:rFonts w:ascii="Times New Roman" w:eastAsia="Batang" w:hAnsi="Times New Roman" w:cs="Times New Roman"/>
          <w:b/>
          <w:bCs/>
          <w:sz w:val="24"/>
          <w:szCs w:val="24"/>
        </w:rPr>
        <w:t>4.2.1 -</w:t>
      </w:r>
      <w:r>
        <w:rPr>
          <w:rFonts w:ascii="Times New Roman" w:eastAsia="Batang" w:hAnsi="Times New Roman" w:cs="Times New Roman"/>
          <w:sz w:val="24"/>
          <w:szCs w:val="24"/>
        </w:rPr>
        <w:t xml:space="preserve"> Como condição para participação na sessão pública, os licitantes devem inserir os dados da proposta inicial no Sistema de Compras do Governo Federal (</w:t>
      </w:r>
      <w:hyperlink r:id="rId8">
        <w:r>
          <w:rPr>
            <w:rStyle w:val="Hyperlink"/>
            <w:rFonts w:ascii="Times New Roman" w:eastAsia="Batang" w:hAnsi="Times New Roman" w:cs="Times New Roman"/>
            <w:color w:val="auto"/>
            <w:sz w:val="24"/>
            <w:szCs w:val="24"/>
            <w:u w:val="none"/>
          </w:rPr>
          <w:t>www.gov.br/compras</w:t>
        </w:r>
      </w:hyperlink>
      <w:r>
        <w:rPr>
          <w:rFonts w:ascii="Times New Roman" w:eastAsia="Batang" w:hAnsi="Times New Roman" w:cs="Times New Roman"/>
          <w:sz w:val="24"/>
          <w:szCs w:val="24"/>
        </w:rPr>
        <w:t>).</w:t>
      </w:r>
    </w:p>
    <w:p w14:paraId="7135E440"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 –</w:t>
      </w:r>
      <w:r>
        <w:rPr>
          <w:rFonts w:ascii="Times New Roman" w:eastAsia="Batang" w:hAnsi="Times New Roman"/>
          <w:sz w:val="24"/>
          <w:szCs w:val="24"/>
        </w:rPr>
        <w:t xml:space="preserve"> O Pregão Eletrônico será conduzido pelo Pregoeiro, que terá, em especial, as seguintes atribuições:</w:t>
      </w:r>
    </w:p>
    <w:p w14:paraId="3B8260F7"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4.3.1 -</w:t>
      </w:r>
      <w:r>
        <w:rPr>
          <w:rFonts w:ascii="Times New Roman" w:eastAsia="Batang" w:hAnsi="Times New Roman"/>
          <w:sz w:val="24"/>
          <w:szCs w:val="24"/>
        </w:rPr>
        <w:t xml:space="preserve"> Conduzir a sessão pública do Pregão Eletrônico;</w:t>
      </w:r>
    </w:p>
    <w:p w14:paraId="13CEA4FF"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4.3.2 -</w:t>
      </w:r>
      <w:r>
        <w:rPr>
          <w:rFonts w:ascii="Times New Roman" w:eastAsia="Batang" w:hAnsi="Times New Roman"/>
          <w:sz w:val="24"/>
          <w:szCs w:val="24"/>
        </w:rPr>
        <w:t xml:space="preserve"> Receber, examinar e decidir as impugnações e os pedidos de esclarecimentos ao edital e aos anexos, além de poder requisitar subsídios formais aos responsáveis pela instrução desses documentos;</w:t>
      </w:r>
    </w:p>
    <w:p w14:paraId="799C8620"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4.3.3 -</w:t>
      </w:r>
      <w:r>
        <w:rPr>
          <w:rFonts w:ascii="Times New Roman" w:eastAsia="Batang" w:hAnsi="Times New Roman"/>
          <w:sz w:val="24"/>
          <w:szCs w:val="24"/>
        </w:rPr>
        <w:t xml:space="preserve"> Verificar a conformidade da(s) proposta(s) em relação aos requisitos estabelecidos no edital;</w:t>
      </w:r>
    </w:p>
    <w:p w14:paraId="04D28260"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4.3.4 -</w:t>
      </w:r>
      <w:r>
        <w:rPr>
          <w:rFonts w:ascii="Times New Roman" w:eastAsia="Batang" w:hAnsi="Times New Roman"/>
          <w:sz w:val="24"/>
          <w:szCs w:val="24"/>
        </w:rPr>
        <w:t xml:space="preserve"> Coordenar a sessão pública e o envio de lances;</w:t>
      </w:r>
    </w:p>
    <w:p w14:paraId="1AE03D06"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4.3.5 -</w:t>
      </w:r>
      <w:r>
        <w:rPr>
          <w:rFonts w:ascii="Times New Roman" w:eastAsia="Batang" w:hAnsi="Times New Roman"/>
          <w:sz w:val="24"/>
          <w:szCs w:val="24"/>
        </w:rPr>
        <w:t xml:space="preserve"> Verificar e julgar as condições de habilitação;</w:t>
      </w:r>
    </w:p>
    <w:p w14:paraId="2791BFBC"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4.3.6</w:t>
      </w:r>
      <w:r>
        <w:rPr>
          <w:rFonts w:ascii="Times New Roman" w:eastAsia="Batang" w:hAnsi="Times New Roman"/>
          <w:sz w:val="24"/>
          <w:szCs w:val="24"/>
        </w:rPr>
        <w:t xml:space="preserve"> - Sanear erros ou falhas que não alterem a substância das propostas, dos documentos de habilitação e sua validade jurídica;</w:t>
      </w:r>
    </w:p>
    <w:p w14:paraId="1D755DC0"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4.3.7 -</w:t>
      </w:r>
      <w:r>
        <w:rPr>
          <w:rFonts w:ascii="Times New Roman" w:eastAsia="Batang" w:hAnsi="Times New Roman"/>
          <w:sz w:val="24"/>
          <w:szCs w:val="24"/>
        </w:rPr>
        <w:t xml:space="preserve"> Receber, examinar e decidir os recursos e encaminhá-los à autoridade competente quando mantiver sua decisão;</w:t>
      </w:r>
    </w:p>
    <w:p w14:paraId="3A9A490B"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w:t>
      </w:r>
      <w:r>
        <w:rPr>
          <w:rFonts w:ascii="Times New Roman" w:eastAsia="Batang" w:hAnsi="Times New Roman"/>
          <w:b/>
          <w:bCs/>
          <w:sz w:val="24"/>
          <w:szCs w:val="24"/>
        </w:rPr>
        <w:t>.8 -</w:t>
      </w:r>
      <w:r>
        <w:rPr>
          <w:rFonts w:ascii="Times New Roman" w:eastAsia="Batang" w:hAnsi="Times New Roman"/>
          <w:sz w:val="24"/>
          <w:szCs w:val="24"/>
        </w:rPr>
        <w:t xml:space="preserve"> Indicar o vencedor do certame;</w:t>
      </w:r>
    </w:p>
    <w:p w14:paraId="4BF110F9"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4.3.9 -</w:t>
      </w:r>
      <w:r>
        <w:rPr>
          <w:rFonts w:ascii="Times New Roman" w:eastAsia="Batang" w:hAnsi="Times New Roman"/>
          <w:sz w:val="24"/>
          <w:szCs w:val="24"/>
        </w:rPr>
        <w:t xml:space="preserve"> Adjudicar o objeto, quando não houver recurso;</w:t>
      </w:r>
    </w:p>
    <w:p w14:paraId="7A250276"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w:t>
      </w:r>
      <w:r>
        <w:rPr>
          <w:rFonts w:ascii="Times New Roman" w:eastAsia="Batang" w:hAnsi="Times New Roman"/>
          <w:sz w:val="24"/>
          <w:szCs w:val="24"/>
        </w:rPr>
        <w:t>.</w:t>
      </w:r>
      <w:r>
        <w:rPr>
          <w:rFonts w:ascii="Times New Roman" w:eastAsia="Batang" w:hAnsi="Times New Roman"/>
          <w:b/>
          <w:bCs/>
          <w:sz w:val="24"/>
          <w:szCs w:val="24"/>
        </w:rPr>
        <w:t>10 -</w:t>
      </w:r>
      <w:r>
        <w:rPr>
          <w:rFonts w:ascii="Times New Roman" w:eastAsia="Batang" w:hAnsi="Times New Roman"/>
          <w:sz w:val="24"/>
          <w:szCs w:val="24"/>
        </w:rPr>
        <w:t xml:space="preserve"> Conduzir os trabalhos da equipe de apoio;</w:t>
      </w:r>
    </w:p>
    <w:p w14:paraId="78DC592E" w14:textId="77777777" w:rsidR="005C2B9E"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lastRenderedPageBreak/>
        <w:t>4.3.11 -</w:t>
      </w:r>
      <w:r>
        <w:rPr>
          <w:rFonts w:ascii="Times New Roman" w:eastAsia="Batang" w:hAnsi="Times New Roman"/>
          <w:sz w:val="24"/>
          <w:szCs w:val="24"/>
        </w:rPr>
        <w:t xml:space="preserve"> Encaminhar o processo devidamente instruído à autoridade competente e propor a sua homologação.</w:t>
      </w:r>
    </w:p>
    <w:p w14:paraId="385644B4" w14:textId="77777777" w:rsidR="005C2B9E"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4.4 –</w:t>
      </w:r>
      <w:r>
        <w:rPr>
          <w:rFonts w:ascii="Times New Roman" w:eastAsia="Batang" w:hAnsi="Times New Roman"/>
          <w:sz w:val="24"/>
          <w:szCs w:val="24"/>
        </w:rPr>
        <w:t xml:space="preserve"> O Pregoeiro poderá solicitar manifestação técnica da Procuradoria-Geral da Prefeitura Municipal, ou do SGP-Prev, a fim de subsidiar sua decisão.</w:t>
      </w:r>
    </w:p>
    <w:p w14:paraId="60968521" w14:textId="77777777" w:rsidR="005C2B9E"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4.5 –</w:t>
      </w:r>
      <w:r>
        <w:rPr>
          <w:rFonts w:ascii="Times New Roman" w:eastAsia="Batang" w:hAnsi="Times New Roman"/>
          <w:sz w:val="24"/>
          <w:szCs w:val="24"/>
        </w:rPr>
        <w:t xml:space="preserve"> Caberá à equipe de apoio auxiliar o Pregoeiro nas etapas do processo licitatório.</w:t>
      </w:r>
    </w:p>
    <w:p w14:paraId="097E37BB" w14:textId="77777777" w:rsidR="005C2B9E" w:rsidRDefault="005C2B9E">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b/>
          <w:sz w:val="24"/>
          <w:szCs w:val="24"/>
        </w:rPr>
      </w:pPr>
    </w:p>
    <w:p w14:paraId="4A2CB442" w14:textId="77777777" w:rsidR="005C2B9E"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sz w:val="24"/>
          <w:szCs w:val="24"/>
        </w:rPr>
      </w:pPr>
      <w:r>
        <w:rPr>
          <w:rFonts w:ascii="Times New Roman" w:eastAsia="Batang" w:hAnsi="Times New Roman"/>
          <w:b/>
          <w:sz w:val="24"/>
          <w:szCs w:val="24"/>
        </w:rPr>
        <w:t xml:space="preserve">V – </w:t>
      </w:r>
      <w:r>
        <w:rPr>
          <w:rFonts w:ascii="Times New Roman" w:eastAsia="Batang" w:hAnsi="Times New Roman"/>
          <w:b/>
          <w:bCs/>
          <w:sz w:val="24"/>
          <w:szCs w:val="24"/>
        </w:rPr>
        <w:t>DIVULGAÇÃO, ESCLARECIMENTOS E IMPUGNAÇÕES</w:t>
      </w:r>
    </w:p>
    <w:p w14:paraId="300C3214"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5.1 –</w:t>
      </w:r>
      <w:r>
        <w:rPr>
          <w:rFonts w:ascii="Times New Roman" w:eastAsia="Batang" w:hAnsi="Times New Roman"/>
          <w:sz w:val="24"/>
          <w:szCs w:val="24"/>
        </w:rPr>
        <w:t xml:space="preserve"> As empresas interessadas em participar do certame deverão retirar o edital nos sites https://saogabriel.es.gov.br/licitacoes ou Sistema de Compras do Governo Federal (www.gov.br/compras), ficando obrigadas a acompanhar as publicações referentes à licitação nestes endereços eletrônicos, no Diário Oficial Eletrônico dos Municípios do Estado do Espírito Santo (DIO – AMUNES), como também no Diário Oficial do Estado do Espírito Santo, tendo em vista a possibilidade de alterações, disponibilização de informações e avisos sobre o procedimento do pregão eletrônico.</w:t>
      </w:r>
    </w:p>
    <w:p w14:paraId="5EE9E488"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 –</w:t>
      </w:r>
      <w:r>
        <w:rPr>
          <w:rFonts w:ascii="Times New Roman" w:eastAsia="Batang" w:hAnsi="Times New Roman"/>
          <w:sz w:val="24"/>
          <w:szCs w:val="24"/>
        </w:rPr>
        <w:t xml:space="preserve"> Qualquer pessoa é parte legítima para impugnar edital de licitação ou para solicitar esclarecimento sobre os seus termos, devendo encaminhar o pedido até 3 (três) dias úteis antes da data de abertura da sessão pública, mediante documento formalizado e apresentado nos endereços eletrônicos (</w:t>
      </w:r>
      <w:hyperlink r:id="rId9">
        <w:r>
          <w:rPr>
            <w:rStyle w:val="Hyperlink"/>
            <w:rFonts w:ascii="Times New Roman" w:eastAsia="Batang" w:hAnsi="Times New Roman"/>
            <w:color w:val="auto"/>
            <w:sz w:val="24"/>
            <w:szCs w:val="24"/>
          </w:rPr>
          <w:t>licitacao@saogabriel.es.gov.br</w:t>
        </w:r>
      </w:hyperlink>
      <w:r>
        <w:rPr>
          <w:rStyle w:val="Hyperlink"/>
          <w:rFonts w:ascii="Times New Roman" w:eastAsia="Batang" w:hAnsi="Times New Roman"/>
          <w:color w:val="auto"/>
          <w:sz w:val="24"/>
          <w:szCs w:val="24"/>
        </w:rPr>
        <w:t xml:space="preserve"> e </w:t>
      </w:r>
      <w:hyperlink r:id="rId10">
        <w:r>
          <w:rPr>
            <w:rStyle w:val="Hyperlink"/>
            <w:rFonts w:ascii="Times New Roman" w:eastAsia="Batang" w:hAnsi="Times New Roman"/>
            <w:color w:val="auto"/>
            <w:sz w:val="24"/>
            <w:szCs w:val="24"/>
          </w:rPr>
          <w:t>saogabrielprev@gmail.com</w:t>
        </w:r>
      </w:hyperlink>
      <w:r>
        <w:rPr>
          <w:rFonts w:ascii="Times New Roman" w:eastAsia="Batang" w:hAnsi="Times New Roman"/>
          <w:sz w:val="24"/>
          <w:szCs w:val="24"/>
        </w:rPr>
        <w:t>).</w:t>
      </w:r>
    </w:p>
    <w:p w14:paraId="4DF1293F"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5.2.1 -</w:t>
      </w:r>
      <w:r>
        <w:rPr>
          <w:rFonts w:ascii="Times New Roman" w:eastAsia="Batang" w:hAnsi="Times New Roman"/>
          <w:sz w:val="24"/>
          <w:szCs w:val="24"/>
        </w:rPr>
        <w:t xml:space="preserve"> O Pregoeiro ou a Comissão de Contratação, quando o substituir,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Termo de Referência e seus anexos.</w:t>
      </w:r>
    </w:p>
    <w:p w14:paraId="37C828AF"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5.2.2 -</w:t>
      </w:r>
      <w:r>
        <w:rPr>
          <w:rFonts w:ascii="Times New Roman" w:eastAsia="Batang" w:hAnsi="Times New Roman"/>
          <w:sz w:val="24"/>
          <w:szCs w:val="24"/>
        </w:rPr>
        <w:t xml:space="preserve"> A impugnação não possui efeito suspensivo, sendo a sua concessão medida excepcional que deverá ser motivada pelo Pregoeiro ou pela Comissão de Contratação, quando o substituir, ou ainda pelos responsáveis pela elaboração do Termo de Referência e seus anexos, nos autos do processo de licitação. </w:t>
      </w:r>
    </w:p>
    <w:p w14:paraId="14CD9067"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5.2.3 -</w:t>
      </w:r>
      <w:r>
        <w:rPr>
          <w:rFonts w:ascii="Times New Roman" w:eastAsia="Batang" w:hAnsi="Times New Roman"/>
          <w:sz w:val="24"/>
          <w:szCs w:val="24"/>
        </w:rPr>
        <w:t xml:space="preserve"> Acolhida a impugnação contra o instrumento convocatório, será definida e publicada nova data para a realização do certame.</w:t>
      </w:r>
    </w:p>
    <w:p w14:paraId="2D297631"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w:t>
      </w:r>
      <w:r>
        <w:rPr>
          <w:rFonts w:ascii="Times New Roman" w:eastAsia="Batang" w:hAnsi="Times New Roman"/>
          <w:sz w:val="24"/>
          <w:szCs w:val="24"/>
        </w:rPr>
        <w:t>.</w:t>
      </w:r>
      <w:r>
        <w:rPr>
          <w:rFonts w:ascii="Times New Roman" w:eastAsia="Batang" w:hAnsi="Times New Roman"/>
          <w:b/>
          <w:bCs/>
          <w:sz w:val="24"/>
          <w:szCs w:val="24"/>
        </w:rPr>
        <w:t>4 -</w:t>
      </w:r>
      <w:r>
        <w:rPr>
          <w:rFonts w:ascii="Times New Roman" w:eastAsia="Batang" w:hAnsi="Times New Roman"/>
          <w:sz w:val="24"/>
          <w:szCs w:val="24"/>
        </w:rPr>
        <w:t xml:space="preserve"> As respostas aos pedidos de esclarecimentos e impugnações serão divulgadas no https://saogabriel.es.gov.br/licitacoes e no Sistema de Compras do Governo Federal (www.gov.br/compras), e vincularão os participantes e a Administração.</w:t>
      </w:r>
    </w:p>
    <w:p w14:paraId="2AA8072D" w14:textId="77777777" w:rsidR="005C2B9E" w:rsidRDefault="005C2B9E">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b/>
          <w:sz w:val="24"/>
          <w:szCs w:val="24"/>
        </w:rPr>
      </w:pPr>
    </w:p>
    <w:p w14:paraId="0B2806DE" w14:textId="77777777" w:rsidR="005C2B9E"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sz w:val="24"/>
          <w:szCs w:val="24"/>
        </w:rPr>
      </w:pPr>
      <w:r>
        <w:rPr>
          <w:rFonts w:ascii="Times New Roman" w:eastAsia="Batang" w:hAnsi="Times New Roman"/>
          <w:b/>
          <w:sz w:val="24"/>
          <w:szCs w:val="24"/>
        </w:rPr>
        <w:t>VI – CONDIÇÕES DE PARTICIPAÇÃO</w:t>
      </w:r>
    </w:p>
    <w:p w14:paraId="199C2AFF"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6.1 –</w:t>
      </w:r>
      <w:r>
        <w:rPr>
          <w:rFonts w:ascii="Times New Roman" w:eastAsia="Batang" w:hAnsi="Times New Roman"/>
          <w:sz w:val="24"/>
          <w:szCs w:val="24"/>
        </w:rPr>
        <w:t xml:space="preserve"> Poderão participar deste pregão eletrônico somente os interessados cujo ramo de atividade seja compatível com o objeto desta licitação, conforme disposto nos respectivos atos constitutivos, que atenderem todas as exigências, inclusive quanto à documentação, constantes deste edital e seus anexos.</w:t>
      </w:r>
    </w:p>
    <w:p w14:paraId="172A42E5"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lastRenderedPageBreak/>
        <w:t>6.2 –</w:t>
      </w:r>
      <w:r>
        <w:rPr>
          <w:rFonts w:ascii="Times New Roman" w:eastAsia="Batang" w:hAnsi="Times New Roman"/>
          <w:sz w:val="24"/>
          <w:szCs w:val="24"/>
        </w:rPr>
        <w:t xml:space="preserve"> Estarão impedidos de participar de quaisquer fases do certame, interessados que se enquadrem em uma ou mais das situações a seguir:</w:t>
      </w:r>
    </w:p>
    <w:p w14:paraId="4B54FEE4"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a)</w:t>
      </w:r>
      <w:r>
        <w:rPr>
          <w:rFonts w:ascii="Times New Roman" w:eastAsia="Batang" w:hAnsi="Times New Roman"/>
          <w:sz w:val="24"/>
          <w:szCs w:val="24"/>
        </w:rPr>
        <w:t xml:space="preserve"> estejam cumprindo penalidade de suspensão temporária imposta pela Administração Pública, direta e indireta, em face da hipótese prevista no inciso III do Art. 156, da Lei nº 14.133/2021;</w:t>
      </w:r>
    </w:p>
    <w:p w14:paraId="16C35768"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b)</w:t>
      </w:r>
      <w:r>
        <w:rPr>
          <w:rFonts w:ascii="Times New Roman" w:eastAsia="Batang" w:hAnsi="Times New Roman"/>
          <w:sz w:val="24"/>
          <w:szCs w:val="24"/>
        </w:rPr>
        <w:t xml:space="preserve"> sejam declaradas inidôneas em qualquer esfera de Governo, em face da hipótese prevista no inciso IV do Art. 156, da Lei nº 14.133/2021;</w:t>
      </w:r>
    </w:p>
    <w:p w14:paraId="5EFCFDCE"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c)</w:t>
      </w:r>
      <w:r>
        <w:rPr>
          <w:rFonts w:ascii="Times New Roman" w:eastAsia="Batang" w:hAnsi="Times New Roman"/>
          <w:sz w:val="24"/>
          <w:szCs w:val="24"/>
        </w:rPr>
        <w:t xml:space="preserve"> estejam enquadradas no disposto do Art. 14, da Lei nº 14.133/2021;</w:t>
      </w:r>
    </w:p>
    <w:p w14:paraId="2AA1BD8D"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d)</w:t>
      </w:r>
      <w:r>
        <w:rPr>
          <w:rFonts w:ascii="Times New Roman" w:eastAsia="Batang" w:hAnsi="Times New Roman"/>
          <w:sz w:val="24"/>
          <w:szCs w:val="24"/>
        </w:rPr>
        <w:t xml:space="preserve"> estrangeiros que não tenham representação legal no Brasil com poderes expressos para receber citação e responder administrativa ou judicialmente;</w:t>
      </w:r>
    </w:p>
    <w:p w14:paraId="19F18B6A"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e)</w:t>
      </w:r>
      <w:r>
        <w:rPr>
          <w:rFonts w:ascii="Times New Roman" w:eastAsia="Batang" w:hAnsi="Times New Roman"/>
          <w:sz w:val="24"/>
          <w:szCs w:val="24"/>
        </w:rPr>
        <w:t xml:space="preserve"> que não se qualifiquem como microempresas, empresas de pequeno porte ou equiparadas, no caso de licitações ou lotes exclusivos fundamentados no art. 48, incisos I e III da Lei Complementar nº 123, de 2006;</w:t>
      </w:r>
    </w:p>
    <w:p w14:paraId="627E1608"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f)</w:t>
      </w:r>
      <w:r>
        <w:rPr>
          <w:rFonts w:ascii="Times New Roman" w:eastAsia="Batang" w:hAnsi="Times New Roman"/>
          <w:sz w:val="24"/>
          <w:szCs w:val="24"/>
        </w:rPr>
        <w:t xml:space="preserve"> que, embora qualificadas como microempresas, empresas de pequeno porte ou microempreendedor individual, incidam em qualquer das vedações do artigo 3°, parágrafo 4°, da Lei Complementar nº 123, de 2006 no caso de licitações ou lotes exclusivos fundamentados no art. 48, incisos I e III da Lei Complementar nº 123, de 2006;</w:t>
      </w:r>
    </w:p>
    <w:p w14:paraId="1A201769"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6.3 -</w:t>
      </w:r>
      <w:r>
        <w:rPr>
          <w:rFonts w:ascii="Times New Roman" w:eastAsia="Batang" w:hAnsi="Times New Roman"/>
          <w:sz w:val="24"/>
          <w:szCs w:val="24"/>
        </w:rPr>
        <w:t xml:space="preserve"> Para a participação de CONSÓRCIOS deverão ser atendidas as condições previstas no Art. 15 da Lei nº 14.133/2021.</w:t>
      </w:r>
    </w:p>
    <w:p w14:paraId="5C2EDD33"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6.3.1 -</w:t>
      </w:r>
      <w:r>
        <w:rPr>
          <w:rFonts w:ascii="Times New Roman" w:eastAsia="Batang" w:hAnsi="Times New Roman"/>
          <w:sz w:val="24"/>
          <w:szCs w:val="24"/>
        </w:rPr>
        <w:t xml:space="preserve"> Não poderá participar do consórcio pessoa física ou jurídica que tenha sido indicada, nesta mesma licitação, como subcontratada de outra licitante, quando assim for permitido.</w:t>
      </w:r>
    </w:p>
    <w:p w14:paraId="0CE8E75D"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6.3.2 -</w:t>
      </w:r>
      <w:r>
        <w:rPr>
          <w:rFonts w:ascii="Times New Roman" w:eastAsia="Batang" w:hAnsi="Times New Roman"/>
          <w:sz w:val="24"/>
          <w:szCs w:val="24"/>
        </w:rPr>
        <w:t xml:space="preserve"> A empresa integrante de consórcio não poderá participar isoladamente ou em mais de um consórcio, na mesma licitação. Também estará impedida empresa ou firma na qual figure, entre seus diretores, responsáveis técnicos ou sócios, pessoa que seja funcionário, diretor, responsável técnico ou sócio de empresa consorciada.</w:t>
      </w:r>
    </w:p>
    <w:p w14:paraId="5E009B99"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6.3.3 -</w:t>
      </w:r>
      <w:r>
        <w:rPr>
          <w:rFonts w:ascii="Times New Roman" w:eastAsia="Batang" w:hAnsi="Times New Roman"/>
          <w:sz w:val="24"/>
          <w:szCs w:val="24"/>
        </w:rPr>
        <w:t xml:space="preserve"> No caso da participação de consórcios, serão exigidas as comprovações de Habilitação de cada uma das empresas participantes do consórcio, admitindo-se, para efeito de qualificação técnica, o somatório dos quantitativos de cada consorciado e, para efeito de habilitação econômico-financeira, do somatório dos valores de cada consorciado, na forma e nos limites previstos no art. 15 da Lei nº 14.133/21;</w:t>
      </w:r>
    </w:p>
    <w:p w14:paraId="585E1AFE"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6.3.4 -</w:t>
      </w:r>
      <w:r>
        <w:rPr>
          <w:rFonts w:ascii="Times New Roman" w:eastAsia="Batang" w:hAnsi="Times New Roman"/>
          <w:sz w:val="24"/>
          <w:szCs w:val="24"/>
        </w:rPr>
        <w:t xml:space="preserve"> As Pessoas Jurídicas que participarem em consórcio deverão apresentar, além dos documentos exigidos neste Edital, o TERMO DE COMPROMISSO DE CONSTITUIÇÃO DO CONSÓRCIO, por escritura pública ou documento particular subscrito por todas, que deverá atender aos seguintes critérios, sob pena de desclassificação:</w:t>
      </w:r>
    </w:p>
    <w:p w14:paraId="2D3E5705"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a)</w:t>
      </w:r>
      <w:r>
        <w:rPr>
          <w:rFonts w:ascii="Times New Roman" w:eastAsia="Batang" w:hAnsi="Times New Roman"/>
          <w:sz w:val="24"/>
          <w:szCs w:val="24"/>
        </w:rPr>
        <w:t xml:space="preserve"> A designação do consórcio, a indicação da participação nesta licitação e execução do contrato dela decorrente como seu objeto e o endereço em que está estabelecido;</w:t>
      </w:r>
    </w:p>
    <w:p w14:paraId="4B9D1F00"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b)</w:t>
      </w:r>
      <w:r>
        <w:rPr>
          <w:rFonts w:ascii="Times New Roman" w:eastAsia="Batang" w:hAnsi="Times New Roman"/>
          <w:sz w:val="24"/>
          <w:szCs w:val="24"/>
        </w:rPr>
        <w:t xml:space="preserve"> A qualificação das empresas participantes e a forma de composição do consórcio, indicando o percentual de participação de cada uma na execução do objeto licitado;</w:t>
      </w:r>
    </w:p>
    <w:p w14:paraId="65BB2814"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c)</w:t>
      </w:r>
      <w:r>
        <w:rPr>
          <w:rFonts w:ascii="Times New Roman" w:eastAsia="Batang" w:hAnsi="Times New Roman"/>
          <w:sz w:val="24"/>
          <w:szCs w:val="24"/>
        </w:rPr>
        <w:t xml:space="preserve"> Discriminar a empresa líder;</w:t>
      </w:r>
    </w:p>
    <w:p w14:paraId="57FD6261"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lastRenderedPageBreak/>
        <w:t>d)</w:t>
      </w:r>
      <w:r>
        <w:rPr>
          <w:rFonts w:ascii="Times New Roman" w:eastAsia="Batang" w:hAnsi="Times New Roman"/>
          <w:sz w:val="24"/>
          <w:szCs w:val="24"/>
        </w:rPr>
        <w:t xml:space="preserve"> Detalhar a participação, as obrigações e a responsabilidade solidária de cada consorciado pelos atos praticados por qualquer deles tanto na fase de licitação quanto na de execução do contrato;</w:t>
      </w:r>
    </w:p>
    <w:p w14:paraId="2EB3F849"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e)</w:t>
      </w:r>
      <w:r>
        <w:rPr>
          <w:rFonts w:ascii="Times New Roman" w:eastAsia="Batang" w:hAnsi="Times New Roman"/>
          <w:sz w:val="24"/>
          <w:szCs w:val="24"/>
        </w:rPr>
        <w:t xml:space="preserve"> Declarar que o consórcio não se constitui, nem se constituirá, em pessoa jurídica distinta da de seus membros, nem terá denominação própria ou diferente de seus consorciados.</w:t>
      </w:r>
    </w:p>
    <w:p w14:paraId="4948C237"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6.3.5 -</w:t>
      </w:r>
      <w:r>
        <w:rPr>
          <w:rFonts w:ascii="Times New Roman" w:eastAsia="Batang" w:hAnsi="Times New Roman"/>
          <w:sz w:val="24"/>
          <w:szCs w:val="24"/>
        </w:rPr>
        <w:t xml:space="preserve"> A empresa líder será a responsável pela realização dos atos que cumpram ao consórcio, assim como por representar o consórcio junto ao órgão licitante.</w:t>
      </w:r>
    </w:p>
    <w:p w14:paraId="074F8C94"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6.3.6 -</w:t>
      </w:r>
      <w:r>
        <w:rPr>
          <w:rFonts w:ascii="Times New Roman" w:eastAsia="Batang" w:hAnsi="Times New Roman"/>
          <w:sz w:val="24"/>
          <w:szCs w:val="24"/>
        </w:rPr>
        <w:t xml:space="preserve"> Os integrantes do consórcio respondem solidariamente pelos atos praticados pelo consórcio, tanto na fase de licitação quanto na de execução do contrato.</w:t>
      </w:r>
    </w:p>
    <w:p w14:paraId="11D0C004"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6.3.7 -</w:t>
      </w:r>
      <w:r>
        <w:rPr>
          <w:rFonts w:ascii="Times New Roman" w:eastAsia="Batang" w:hAnsi="Times New Roman"/>
          <w:sz w:val="24"/>
          <w:szCs w:val="24"/>
        </w:rPr>
        <w:t xml:space="preserve"> Não será permitida a modificação da composição do consórcio ou a substituição de consorciado até a conclusão do objeto do certame, ressalvada, se permanecerem as condições de habilitação, a autorização expressa do órgão licitante.</w:t>
      </w:r>
    </w:p>
    <w:p w14:paraId="1063206A"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6.3.8 -</w:t>
      </w:r>
      <w:r>
        <w:rPr>
          <w:rFonts w:ascii="Times New Roman" w:eastAsia="Batang" w:hAnsi="Times New Roman"/>
          <w:sz w:val="24"/>
          <w:szCs w:val="24"/>
        </w:rPr>
        <w:t xml:space="preserve"> O Licitante vencedor, se constituído sob a forma de consórcio, deverá apresentar, antes da celebração do contrato, a constituição e o registro do consórcio, nos termos do Termo de Compromisso de Constituição do Consórcio.</w:t>
      </w:r>
    </w:p>
    <w:p w14:paraId="45DF3682"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6.3.9 -</w:t>
      </w:r>
      <w:r>
        <w:rPr>
          <w:rFonts w:ascii="Times New Roman" w:eastAsia="Batang" w:hAnsi="Times New Roman"/>
          <w:sz w:val="24"/>
          <w:szCs w:val="24"/>
        </w:rPr>
        <w:t xml:space="preserve"> No caso de consórcio, para atendimento ao EFD-REINF, da Receita Federal, para fins de recebimento junto ao Órgão, o Contrato deverá ser formalizado em nome do consórcio e o pagamento será realizado em conta bancária em nome do Consórcio. </w:t>
      </w:r>
    </w:p>
    <w:p w14:paraId="1F3AF551"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6.3.10</w:t>
      </w:r>
      <w:r>
        <w:rPr>
          <w:rFonts w:ascii="Times New Roman" w:eastAsia="Batang" w:hAnsi="Times New Roman"/>
          <w:sz w:val="24"/>
          <w:szCs w:val="24"/>
        </w:rPr>
        <w:t xml:space="preserve"> </w:t>
      </w:r>
      <w:r>
        <w:rPr>
          <w:rFonts w:ascii="Times New Roman" w:eastAsia="Batang" w:hAnsi="Times New Roman"/>
          <w:b/>
          <w:bCs/>
          <w:sz w:val="24"/>
          <w:szCs w:val="24"/>
        </w:rPr>
        <w:t>-</w:t>
      </w:r>
      <w:r>
        <w:rPr>
          <w:rFonts w:ascii="Times New Roman" w:eastAsia="Batang" w:hAnsi="Times New Roman"/>
          <w:sz w:val="24"/>
          <w:szCs w:val="24"/>
        </w:rPr>
        <w:t xml:space="preserve"> No consórcio entre empresas brasileiras e estrangeiras a liderança caberá, obrigatoriamente, à empresa brasileira.</w:t>
      </w:r>
    </w:p>
    <w:p w14:paraId="33E1E0F8"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6.4 -</w:t>
      </w:r>
      <w:r>
        <w:rPr>
          <w:rFonts w:ascii="Times New Roman" w:eastAsia="Batang" w:hAnsi="Times New Roman"/>
          <w:sz w:val="24"/>
          <w:szCs w:val="24"/>
        </w:rPr>
        <w:t xml:space="preserve"> A observância das vedações do item anterior é de inteira responsabilidade do licitante que, pelo descumprimento, fica sujeito à desclassificação no certame e às penalidades cabíveis.</w:t>
      </w:r>
    </w:p>
    <w:p w14:paraId="7B805AF0"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6.5 -</w:t>
      </w:r>
      <w:r>
        <w:rPr>
          <w:rFonts w:ascii="Times New Roman" w:eastAsia="Batang" w:hAnsi="Times New Roman"/>
          <w:sz w:val="24"/>
          <w:szCs w:val="24"/>
        </w:rPr>
        <w:t xml:space="preserve"> O Pregoeiro poderá promover diligências para averiguar a veracidade das informações constantes nos documentos apresentados pelas empresas licitantes acerca das condições de participação.</w:t>
      </w:r>
    </w:p>
    <w:p w14:paraId="062DA905"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6.6 -</w:t>
      </w:r>
      <w:r>
        <w:rPr>
          <w:rFonts w:ascii="Times New Roman" w:eastAsia="Batang" w:hAnsi="Times New Roman"/>
          <w:sz w:val="24"/>
          <w:szCs w:val="24"/>
        </w:rPr>
        <w:t xml:space="preserve"> As diligências promovidas pelo Pregoeiro poderão envolver a solicitação de outros documentos e informações para a tomada de decisão.</w:t>
      </w:r>
    </w:p>
    <w:p w14:paraId="20B9D3CC"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6.7 -</w:t>
      </w:r>
      <w:r>
        <w:rPr>
          <w:rFonts w:ascii="Times New Roman" w:eastAsia="Batang" w:hAnsi="Times New Roman"/>
          <w:sz w:val="24"/>
          <w:szCs w:val="24"/>
        </w:rPr>
        <w:t xml:space="preserve"> A apresentação da proposta implica plena aceitação, por parte do licitante, das condições estabelecidas neste edital e seus anexos, bem como obrigatoriedade do cumprimento das disposições nela contidas, assumindo o proponente o compromisso de executar a contratação nos termos propostos.</w:t>
      </w:r>
    </w:p>
    <w:p w14:paraId="13FF0EAE" w14:textId="77777777" w:rsidR="005C2B9E"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6.8 -</w:t>
      </w:r>
      <w:r>
        <w:rPr>
          <w:rFonts w:ascii="Times New Roman" w:eastAsia="Batang" w:hAnsi="Times New Roman"/>
          <w:sz w:val="24"/>
          <w:szCs w:val="24"/>
        </w:rPr>
        <w:t xml:space="preserve"> Todos os avisos relativos aos atos praticados durante o procedimento licitatório serão efetuados pelo Pregoeiro aos licitantes por meio do campo de mensagens do Sistema de Compras do Governo Federal (www.gov.br/compras), ficando sob inteira responsabilidade do licitante acompanhar o trâmite do certame.</w:t>
      </w:r>
    </w:p>
    <w:p w14:paraId="3AE2ED52" w14:textId="77777777" w:rsidR="005C2B9E" w:rsidRDefault="00000000">
      <w:pPr>
        <w:spacing w:before="120" w:after="0" w:line="240" w:lineRule="auto"/>
        <w:jc w:val="both"/>
        <w:rPr>
          <w:rFonts w:ascii="Times New Roman" w:hAnsi="Times New Roman"/>
          <w:b/>
          <w:sz w:val="24"/>
          <w:szCs w:val="24"/>
          <w:u w:val="single"/>
        </w:rPr>
      </w:pPr>
      <w:r>
        <w:rPr>
          <w:rFonts w:ascii="Times New Roman" w:hAnsi="Times New Roman"/>
          <w:b/>
          <w:sz w:val="24"/>
          <w:szCs w:val="24"/>
          <w:u w:val="single"/>
        </w:rPr>
        <w:t>6.9 – Este Pregão não ocorrerá com exclusividade para as Microempresas e Empresas de Pequeno Porte, haja vista a inexistência dos requisitos mínimos, conforme os Artigos 48 e 49 da Lei Complementar nº 123/2006.</w:t>
      </w:r>
    </w:p>
    <w:p w14:paraId="2EB740E6" w14:textId="77777777" w:rsidR="005C2B9E" w:rsidRDefault="005C2B9E">
      <w:pPr>
        <w:spacing w:before="120" w:after="0" w:line="240" w:lineRule="auto"/>
        <w:jc w:val="both"/>
        <w:rPr>
          <w:rFonts w:ascii="Times New Roman" w:hAnsi="Times New Roman"/>
          <w:sz w:val="24"/>
          <w:szCs w:val="24"/>
        </w:rPr>
      </w:pPr>
    </w:p>
    <w:p w14:paraId="474196CA" w14:textId="77777777" w:rsidR="005C2B9E" w:rsidRDefault="00000000">
      <w:pPr>
        <w:pBdr>
          <w:bottom w:val="double" w:sz="4" w:space="1" w:color="000000"/>
        </w:pBdr>
        <w:tabs>
          <w:tab w:val="left" w:pos="0"/>
          <w:tab w:val="left" w:pos="1026"/>
          <w:tab w:val="left" w:pos="1812"/>
          <w:tab w:val="left" w:pos="2466"/>
          <w:tab w:val="left" w:pos="3451"/>
        </w:tabs>
        <w:spacing w:before="120" w:after="0" w:line="240" w:lineRule="auto"/>
        <w:rPr>
          <w:rFonts w:ascii="Times New Roman" w:eastAsia="Batang" w:hAnsi="Times New Roman"/>
          <w:b/>
          <w:sz w:val="24"/>
          <w:szCs w:val="24"/>
        </w:rPr>
      </w:pPr>
      <w:r>
        <w:rPr>
          <w:rFonts w:ascii="Times New Roman" w:eastAsia="Batang" w:hAnsi="Times New Roman"/>
          <w:b/>
          <w:sz w:val="24"/>
          <w:szCs w:val="24"/>
        </w:rPr>
        <w:lastRenderedPageBreak/>
        <w:t>VII – DAS OBRIGAÇÕES DOS LICITANTES E REQUISITOS DE CREDENCIAMENTO</w:t>
      </w:r>
      <w:r>
        <w:rPr>
          <w:rFonts w:ascii="Times New Roman" w:eastAsia="Batang" w:hAnsi="Times New Roman"/>
          <w:b/>
          <w:sz w:val="24"/>
          <w:szCs w:val="24"/>
        </w:rPr>
        <w:tab/>
      </w:r>
    </w:p>
    <w:p w14:paraId="3A42980D"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sz w:val="24"/>
          <w:szCs w:val="24"/>
        </w:rPr>
        <w:t>7.1 –</w:t>
      </w:r>
      <w:r>
        <w:rPr>
          <w:rFonts w:ascii="Times New Roman" w:eastAsia="Batang" w:hAnsi="Times New Roman"/>
          <w:sz w:val="24"/>
          <w:szCs w:val="24"/>
        </w:rPr>
        <w:t xml:space="preserve"> Compete ao licitante interessado em participar do pregão eletrônico:</w:t>
      </w:r>
    </w:p>
    <w:p w14:paraId="27D00E4E"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7.1.1 –</w:t>
      </w:r>
      <w:r>
        <w:rPr>
          <w:rFonts w:ascii="Times New Roman" w:eastAsia="Batang" w:hAnsi="Times New Roman"/>
          <w:sz w:val="24"/>
          <w:szCs w:val="24"/>
        </w:rPr>
        <w:t xml:space="preserve"> Estar previamente credenciados no Sistema de Cadastramento Unificado de Fornecedores - SICAF e no Sistema de Compras do Governo Federal (www.gov.br/compras), no prazo mínimo de 24 (vinte e quatro) horas antes da data de realização da sessão pública;</w:t>
      </w:r>
    </w:p>
    <w:p w14:paraId="73C1892B"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7.1.2 -</w:t>
      </w:r>
      <w:r>
        <w:rPr>
          <w:rFonts w:ascii="Times New Roman" w:eastAsia="Batang" w:hAnsi="Times New Roman"/>
          <w:sz w:val="24"/>
          <w:szCs w:val="24"/>
        </w:rPr>
        <w:t xml:space="preserve"> Informar-se a respeito do funcionamento e regulamento do Sistema de Compras do Governo Federal (www.gov.br/compras), como também receber instruções detalhadas para sua correta utilização;</w:t>
      </w:r>
    </w:p>
    <w:p w14:paraId="62B837B9"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7.1.3 -</w:t>
      </w:r>
      <w:r>
        <w:rPr>
          <w:rFonts w:ascii="Times New Roman" w:eastAsia="Batang" w:hAnsi="Times New Roman"/>
          <w:sz w:val="24"/>
          <w:szCs w:val="24"/>
        </w:rPr>
        <w:t xml:space="preserve"> Remeter, no prazo estabelecido por este edital, exclusivamente via sistema, a proposta e os documentos de habilitação e, quando necessário, os documentos complementares;</w:t>
      </w:r>
    </w:p>
    <w:p w14:paraId="503E8CD9"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7.1.4 -</w:t>
      </w:r>
      <w:r>
        <w:rPr>
          <w:rFonts w:ascii="Times New Roman" w:eastAsia="Batang" w:hAnsi="Times New Roman"/>
          <w:sz w:val="24"/>
          <w:szCs w:val="24"/>
        </w:rPr>
        <w:t xml:space="preserve"> Responsabilizar-se formalmente pelas negociações efetuadas em seu nome, assumindo suas propostas e seus lances, inclusive os atos praticados diretamente ou por seu representante, excluída a responsabilidade do provedor do sistema ou do Instituto de Previdência por eventuais danos decorrentes de uso indevido da senha, ainda que por terceiros;</w:t>
      </w:r>
    </w:p>
    <w:p w14:paraId="0AAE361B"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7.1.5 -</w:t>
      </w:r>
      <w:r>
        <w:rPr>
          <w:rFonts w:ascii="Times New Roman" w:eastAsia="Batang" w:hAnsi="Times New Roman"/>
          <w:sz w:val="24"/>
          <w:szCs w:val="24"/>
        </w:rPr>
        <w:t xml:space="preserve"> Acompanhar as operações no sistema eletrônico durante o processo licitatório e responsabilizar-se pelo ônus decorrente da perda de negócios diante da inobservância de mensagens emitidas pelo sistema ou de sua desconexão;</w:t>
      </w:r>
    </w:p>
    <w:p w14:paraId="585E520B"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7.1.6 -</w:t>
      </w:r>
      <w:r>
        <w:rPr>
          <w:rFonts w:ascii="Times New Roman" w:eastAsia="Batang" w:hAnsi="Times New Roman"/>
          <w:sz w:val="24"/>
          <w:szCs w:val="24"/>
        </w:rPr>
        <w:t xml:space="preserve"> Comunicar imediatamente ao provedor do sistema qualquer acontecimento que possa comprometer o sigilo ou a inviabilidade do uso da chave de identificação/senha, para imediato bloqueio de acesso;</w:t>
      </w:r>
    </w:p>
    <w:p w14:paraId="357E5E97"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7.1.7 -</w:t>
      </w:r>
      <w:r>
        <w:rPr>
          <w:rFonts w:ascii="Times New Roman" w:eastAsia="Batang" w:hAnsi="Times New Roman"/>
          <w:sz w:val="24"/>
          <w:szCs w:val="24"/>
        </w:rPr>
        <w:t xml:space="preserve"> Utilizar-se da chave de identificação (login) e da senha de acesso para participar do pregão na forma eletrônica;</w:t>
      </w:r>
    </w:p>
    <w:p w14:paraId="4BFFA497"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7.1.8 -</w:t>
      </w:r>
      <w:r>
        <w:rPr>
          <w:rFonts w:ascii="Times New Roman" w:eastAsia="Batang" w:hAnsi="Times New Roman"/>
          <w:sz w:val="24"/>
          <w:szCs w:val="24"/>
        </w:rPr>
        <w:t xml:space="preserve"> Solicitar o cancelamento da chave de identificação (login) ou da senha de acesso por interesse próprio;</w:t>
      </w:r>
    </w:p>
    <w:p w14:paraId="295A179D"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7.1.9 -</w:t>
      </w:r>
      <w:r>
        <w:rPr>
          <w:rFonts w:ascii="Times New Roman" w:eastAsia="Batang" w:hAnsi="Times New Roman"/>
          <w:sz w:val="24"/>
          <w:szCs w:val="24"/>
        </w:rPr>
        <w:t xml:space="preserve"> Manter o endereço atualizado de correio eletrônico, bem como se submeter às exigências da legislação pertinente, em especial da Lei nº 14.133/2021, assim como aos termos de participação e condições de contratação constantes neste instrumento convocatório.</w:t>
      </w:r>
    </w:p>
    <w:p w14:paraId="0048A4F3" w14:textId="77777777" w:rsidR="005C2B9E" w:rsidRDefault="005C2B9E">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p>
    <w:p w14:paraId="7DECB99E"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t>VIII – DA APRESENTAÇÃO DA PROPOSTA E DOS DOCUMENTOS DE HABILITAÇÃO</w:t>
      </w:r>
    </w:p>
    <w:p w14:paraId="7D99DD34" w14:textId="77777777" w:rsidR="005C2B9E" w:rsidRDefault="00000000">
      <w:pPr>
        <w:spacing w:before="120" w:after="0" w:line="240" w:lineRule="auto"/>
        <w:jc w:val="both"/>
        <w:rPr>
          <w:rFonts w:ascii="Times New Roman" w:eastAsia="Batang" w:hAnsi="Times New Roman"/>
          <w:sz w:val="24"/>
          <w:szCs w:val="24"/>
        </w:rPr>
      </w:pPr>
      <w:r>
        <w:rPr>
          <w:rFonts w:ascii="Times New Roman" w:hAnsi="Times New Roman"/>
          <w:b/>
          <w:sz w:val="24"/>
          <w:szCs w:val="24"/>
        </w:rPr>
        <w:t>8.1 –</w:t>
      </w:r>
      <w:r>
        <w:rPr>
          <w:rFonts w:ascii="Times New Roman" w:hAnsi="Times New Roman"/>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12C81765"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8.1.1 -</w:t>
      </w:r>
      <w:r>
        <w:rPr>
          <w:rFonts w:ascii="Times New Roman" w:eastAsia="Batang" w:hAnsi="Times New Roman"/>
          <w:sz w:val="24"/>
          <w:szCs w:val="24"/>
        </w:rPr>
        <w:t xml:space="preserve"> Os licitantes deverão apresentar os documentos sob a forma exclusivamente eletrônica, devidamente assinados mediante assinatura digital, com tecnologia conforme chaves ICP-Brasil.</w:t>
      </w:r>
    </w:p>
    <w:p w14:paraId="213628C7"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 –</w:t>
      </w:r>
      <w:r>
        <w:rPr>
          <w:rFonts w:ascii="Times New Roman" w:eastAsia="Batang" w:hAnsi="Times New Roman"/>
          <w:sz w:val="24"/>
          <w:szCs w:val="24"/>
        </w:rPr>
        <w:t xml:space="preserve"> No cadastramento da proposta inicial, o licitante declarará, em campo próprio do sistema, que:</w:t>
      </w:r>
    </w:p>
    <w:p w14:paraId="35C71EC7"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lastRenderedPageBreak/>
        <w:t>8.2.1 –</w:t>
      </w:r>
      <w:r>
        <w:rPr>
          <w:rFonts w:ascii="Times New Roman" w:eastAsia="Batang" w:hAnsi="Times New Roman"/>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32F492E2"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8.2.2 –</w:t>
      </w:r>
      <w:r>
        <w:rPr>
          <w:rFonts w:ascii="Times New Roman" w:eastAsia="Batang" w:hAnsi="Times New Roman"/>
          <w:sz w:val="24"/>
          <w:szCs w:val="24"/>
        </w:rPr>
        <w:t xml:space="preserve"> Não emprega menor de 18 anos em trabalho noturno, perigoso ou insalubre e não emprega menor de 16 anos, salvo menor, a partir de 14 anos, na condição de aprendiz, nos termos do artigo 7°, XXXIII, da Constituição;</w:t>
      </w:r>
    </w:p>
    <w:p w14:paraId="6BB3B2BA"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8.2.3 –</w:t>
      </w:r>
      <w:r>
        <w:rPr>
          <w:rFonts w:ascii="Times New Roman" w:eastAsia="Batang" w:hAnsi="Times New Roman"/>
          <w:sz w:val="24"/>
          <w:szCs w:val="24"/>
        </w:rPr>
        <w:t xml:space="preserve"> Não possui empregados executando trabalho degradante ou forçado, observando o disposto nos incisos III e IV do art. 1º e no inciso III do art. 5º da Constituição Federal;</w:t>
      </w:r>
    </w:p>
    <w:p w14:paraId="67DC8679"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8.2.4</w:t>
      </w:r>
      <w:r>
        <w:rPr>
          <w:rFonts w:ascii="Times New Roman" w:eastAsia="Batang" w:hAnsi="Times New Roman"/>
          <w:sz w:val="24"/>
          <w:szCs w:val="24"/>
        </w:rPr>
        <w:t xml:space="preserve"> – Cumpre as exigências de reserva de cargos para pessoa com deficiência e para reabilitado da Previdência Social, previstas em lei e em outras normas específicas.</w:t>
      </w:r>
    </w:p>
    <w:p w14:paraId="121FC85F"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8.3 –</w:t>
      </w:r>
      <w:r>
        <w:rPr>
          <w:rFonts w:ascii="Times New Roman" w:eastAsia="Batang" w:hAnsi="Times New Roman"/>
          <w:sz w:val="24"/>
          <w:szCs w:val="24"/>
        </w:rPr>
        <w:t xml:space="preserve"> O fornecedor enquadrado como microempresa ou empresa de pequeno porte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68569404"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8.3.1 –</w:t>
      </w:r>
      <w:r>
        <w:rPr>
          <w:rFonts w:ascii="Times New Roman" w:eastAsia="Batang" w:hAnsi="Times New Roman"/>
          <w:sz w:val="24"/>
          <w:szCs w:val="24"/>
        </w:rPr>
        <w:t xml:space="preserve"> Caso tenha item exclusivo para participação de microempresas e empresas de pequeno porte, a assinalação do campo “não” impedirá o prosseguimento no certame, para aquele item;</w:t>
      </w:r>
    </w:p>
    <w:p w14:paraId="5C793D6F"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8.3.2 –</w:t>
      </w:r>
      <w:r>
        <w:rPr>
          <w:rFonts w:ascii="Times New Roman" w:eastAsia="Batang" w:hAnsi="Times New Roman"/>
          <w:sz w:val="24"/>
          <w:szCs w:val="24"/>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3236BF50"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8.4 –</w:t>
      </w:r>
      <w:r>
        <w:rPr>
          <w:rFonts w:ascii="Times New Roman" w:eastAsia="Batang" w:hAnsi="Times New Roman"/>
          <w:sz w:val="24"/>
          <w:szCs w:val="24"/>
        </w:rPr>
        <w:t xml:space="preserve"> A falsidade da declaração de que trata os itens 8.2 e 8.3 sujeitará o licitante às sanções previstas na Lei nº 14.133, de 2021, e neste Edital.</w:t>
      </w:r>
    </w:p>
    <w:p w14:paraId="795640CB"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8.5 –</w:t>
      </w:r>
      <w:r>
        <w:rPr>
          <w:rFonts w:ascii="Times New Roman" w:eastAsia="Batang" w:hAnsi="Times New Roman"/>
          <w:sz w:val="24"/>
          <w:szCs w:val="24"/>
        </w:rPr>
        <w:t xml:space="preserve"> Os licitantes poderão retirar ou substituir a proposta ou os documentos de habilitação anteriormente inseridos no sistema, até a abertura da sessão pública.</w:t>
      </w:r>
    </w:p>
    <w:p w14:paraId="7D0098B0"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8.6 –</w:t>
      </w:r>
      <w:r>
        <w:rPr>
          <w:rFonts w:ascii="Times New Roman" w:eastAsia="Batang" w:hAnsi="Times New Roman"/>
          <w:sz w:val="24"/>
          <w:szCs w:val="24"/>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1AEE9C57"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8.7 –</w:t>
      </w:r>
      <w:r>
        <w:rPr>
          <w:rFonts w:ascii="Times New Roman" w:eastAsia="Batang" w:hAnsi="Times New Roman"/>
          <w:sz w:val="24"/>
          <w:szCs w:val="24"/>
        </w:rPr>
        <w:t xml:space="preserve"> Serão disponibilizados para acesso público os documentos que compõem a proposta dos licitantes convocados para apresentação de propostas, após a fase de envio de lances.</w:t>
      </w:r>
    </w:p>
    <w:p w14:paraId="4EF06795"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8.8 –</w:t>
      </w:r>
      <w:r>
        <w:rPr>
          <w:rFonts w:ascii="Times New Roman" w:eastAsia="Batang" w:hAnsi="Times New Roman"/>
          <w:sz w:val="24"/>
          <w:szCs w:val="24"/>
        </w:rPr>
        <w:t xml:space="preserve"> Desde que disponibilizada a funcionalidade no sistema, o licitante poderá parametrizar o seu valor final mínimo ou o seu percentual de desconto máximo quando do cadastramento da proposta e obedecerá às seguintes regras:</w:t>
      </w:r>
    </w:p>
    <w:p w14:paraId="77C29EE2"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8.8.1 –</w:t>
      </w:r>
      <w:r>
        <w:rPr>
          <w:rFonts w:ascii="Times New Roman" w:eastAsia="Batang" w:hAnsi="Times New Roman"/>
          <w:sz w:val="24"/>
          <w:szCs w:val="24"/>
        </w:rPr>
        <w:t xml:space="preserve"> A aplicação do intervalo mínimo de diferença de valores ou de percentuais entre os lances, que incidirá tanto em relação aos lances intermediários quanto em relação ao lance que cobrir a melhor oferta; e</w:t>
      </w:r>
    </w:p>
    <w:p w14:paraId="0056498E"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lastRenderedPageBreak/>
        <w:t>8.8.2 –</w:t>
      </w:r>
      <w:r>
        <w:rPr>
          <w:rFonts w:ascii="Times New Roman" w:eastAsia="Batang" w:hAnsi="Times New Roman"/>
          <w:sz w:val="24"/>
          <w:szCs w:val="24"/>
        </w:rPr>
        <w:t xml:space="preserve"> Os lances serão de envio automático pelo sistema, respeitado o valor final mínimo, caso estabelecido, e o intervalo de que trata o subitem acima.</w:t>
      </w:r>
    </w:p>
    <w:p w14:paraId="09506D09"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8.9 –</w:t>
      </w:r>
      <w:r>
        <w:rPr>
          <w:rFonts w:ascii="Times New Roman" w:eastAsia="Batang" w:hAnsi="Times New Roman"/>
          <w:sz w:val="24"/>
          <w:szCs w:val="24"/>
        </w:rPr>
        <w:t xml:space="preserve"> O valor final mínimo ou o percentual de desconto final máximo parametrizado no sistema poderá ser alterado pelo fornecedor durante a fase de disputa, sendo vedado:</w:t>
      </w:r>
    </w:p>
    <w:p w14:paraId="6D739855"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8.9.1 –</w:t>
      </w:r>
      <w:r>
        <w:rPr>
          <w:rFonts w:ascii="Times New Roman" w:eastAsia="Batang" w:hAnsi="Times New Roman"/>
          <w:sz w:val="24"/>
          <w:szCs w:val="24"/>
        </w:rPr>
        <w:t xml:space="preserve"> Valor superior a lance já registrado pelo fornecedor no sistema, quando adotado o critério de julgamento por menor preço; e</w:t>
      </w:r>
    </w:p>
    <w:p w14:paraId="06A7E797"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8.9.2 –</w:t>
      </w:r>
      <w:r>
        <w:rPr>
          <w:rFonts w:ascii="Times New Roman" w:eastAsia="Batang" w:hAnsi="Times New Roman"/>
          <w:sz w:val="24"/>
          <w:szCs w:val="24"/>
        </w:rPr>
        <w:t xml:space="preserve"> Percentual de desconto inferior a lance já registrado pelo fornecedor no sistema, quando adotado o critério de julgamento por maior desconto.</w:t>
      </w:r>
    </w:p>
    <w:p w14:paraId="726C33A4"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8.10 –</w:t>
      </w:r>
      <w:r>
        <w:rPr>
          <w:rFonts w:ascii="Times New Roman" w:eastAsia="Batang" w:hAnsi="Times New Roman"/>
          <w:sz w:val="24"/>
          <w:szCs w:val="24"/>
        </w:rPr>
        <w:t xml:space="preserve"> 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3C0605BA"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8.11 –</w:t>
      </w:r>
      <w:r>
        <w:rPr>
          <w:rFonts w:ascii="Times New Roman" w:eastAsia="Batang" w:hAnsi="Times New Roman"/>
          <w:sz w:val="24"/>
          <w:szCs w:val="24"/>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E1680D1"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8.12 –</w:t>
      </w:r>
      <w:r>
        <w:rPr>
          <w:rFonts w:ascii="Times New Roman" w:eastAsia="Batang" w:hAnsi="Times New Roman"/>
          <w:sz w:val="24"/>
          <w:szCs w:val="24"/>
        </w:rPr>
        <w:t xml:space="preserve"> O licitante deverá comunicar imediatamente ao provedor do sistema qualquer acontecimento que possa comprometer o sigilo ou a segurança, para imediato bloqueio de acesso.</w:t>
      </w:r>
    </w:p>
    <w:p w14:paraId="5058C05F"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8.13 -</w:t>
      </w:r>
      <w:r>
        <w:rPr>
          <w:rFonts w:ascii="Times New Roman" w:eastAsia="Batang" w:hAnsi="Times New Roman"/>
          <w:sz w:val="24"/>
          <w:szCs w:val="24"/>
        </w:rPr>
        <w:t xml:space="preserve"> O envio da proposta, acompanhada dos documentos de habilitação exigidos neste edital, ocorrerá por meio de chave de acesso e senha.</w:t>
      </w:r>
    </w:p>
    <w:p w14:paraId="77D8CC4F"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8.13.1 –</w:t>
      </w:r>
      <w:r>
        <w:rPr>
          <w:rFonts w:ascii="Times New Roman" w:eastAsia="Batang" w:hAnsi="Times New Roman"/>
          <w:sz w:val="24"/>
          <w:szCs w:val="24"/>
        </w:rPr>
        <w:t xml:space="preserve"> O Licitante deverá enviar sua proposta comercial preliminar mediante o preenchimento, no sistema provedor, dos seguintes campos:</w:t>
      </w:r>
    </w:p>
    <w:p w14:paraId="5322DDB2"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a)</w:t>
      </w:r>
      <w:r>
        <w:rPr>
          <w:rFonts w:ascii="Times New Roman" w:eastAsia="Batang" w:hAnsi="Times New Roman"/>
          <w:sz w:val="24"/>
          <w:szCs w:val="24"/>
        </w:rPr>
        <w:t xml:space="preserve"> Valor unitário e total do item;</w:t>
      </w:r>
    </w:p>
    <w:p w14:paraId="7B9FDE30"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8.13.2 –</w:t>
      </w:r>
      <w:r>
        <w:rPr>
          <w:rFonts w:ascii="Times New Roman" w:eastAsia="Batang" w:hAnsi="Times New Roman"/>
          <w:sz w:val="24"/>
          <w:szCs w:val="24"/>
        </w:rPr>
        <w:t xml:space="preserve"> Todas as especificações do objeto contidas na proposta vinculam o licitante.</w:t>
      </w:r>
    </w:p>
    <w:p w14:paraId="3F1BC030"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8.13.3 –</w:t>
      </w:r>
      <w:r>
        <w:rPr>
          <w:rFonts w:ascii="Times New Roman" w:eastAsia="Batang" w:hAnsi="Times New Roman"/>
          <w:sz w:val="24"/>
          <w:szCs w:val="24"/>
        </w:rPr>
        <w:t xml:space="preserve"> Nos valores propostos estarão inclusos todos os custos operacionais, encargos previdenciários, trabalhistas, tributários, comerciais e quaisquer outros que incidam direta ou indiretamente na execução do objeto.</w:t>
      </w:r>
    </w:p>
    <w:p w14:paraId="26A8C8E1"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8.13.4 –</w:t>
      </w:r>
      <w:r>
        <w:rPr>
          <w:rFonts w:ascii="Times New Roman" w:eastAsia="Batang" w:hAnsi="Times New Roman"/>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342F389B"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8.13.5 –</w:t>
      </w:r>
      <w:r>
        <w:rPr>
          <w:rFonts w:ascii="Times New Roman" w:eastAsia="Batang" w:hAnsi="Times New Roman"/>
          <w:sz w:val="24"/>
          <w:szCs w:val="24"/>
        </w:rPr>
        <w:t xml:space="preserve"> Se o regime tributário da empresa implicar o recolhimento de tributos em percentuais variáveis, a cotação adequada será a que corresponde à média dos efetivos recolhimentos da empresa nos últimos doze meses.</w:t>
      </w:r>
    </w:p>
    <w:p w14:paraId="129B561F"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8.13.6 –</w:t>
      </w:r>
      <w:r>
        <w:rPr>
          <w:rFonts w:ascii="Times New Roman" w:eastAsia="Batang" w:hAnsi="Times New Roman"/>
          <w:sz w:val="24"/>
          <w:szCs w:val="24"/>
        </w:rPr>
        <w:t xml:space="preserve"> Independentemente do percentual de tributo inserido na planilha, no pagamento serão retidos na fonte os percentuais estabelecidos na legislação vigente.</w:t>
      </w:r>
    </w:p>
    <w:p w14:paraId="6C43A57F"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8.13.7 –</w:t>
      </w:r>
      <w:r>
        <w:rPr>
          <w:rFonts w:ascii="Times New Roman" w:eastAsia="Batang" w:hAnsi="Times New Roman"/>
          <w:sz w:val="24"/>
          <w:szCs w:val="24"/>
        </w:rPr>
        <w:t xml:space="preserve"> Na presente licitação, a Microempresa e a Empresa de Pequeno Porte poderão se beneficiar do regime de tributação pelo Simples Nacional.</w:t>
      </w:r>
    </w:p>
    <w:p w14:paraId="7A30E8DA"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lastRenderedPageBreak/>
        <w:t>8.14 –</w:t>
      </w:r>
      <w:r>
        <w:rPr>
          <w:rFonts w:ascii="Times New Roman" w:eastAsia="Batang" w:hAnsi="Times New Roman"/>
          <w:sz w:val="24"/>
          <w:szCs w:val="24"/>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161ECCE"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8.14.1–</w:t>
      </w:r>
      <w:r>
        <w:rPr>
          <w:rFonts w:ascii="Times New Roman" w:eastAsia="Batang" w:hAnsi="Times New Roman"/>
          <w:sz w:val="24"/>
          <w:szCs w:val="24"/>
        </w:rPr>
        <w:t xml:space="preserve"> O prazo de validade da proposta não será inferior a 60 (sessenta) dias, a contar da data de sua apresentação.</w:t>
      </w:r>
    </w:p>
    <w:p w14:paraId="64C66D2E"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8.15 -</w:t>
      </w:r>
      <w:r>
        <w:rPr>
          <w:rFonts w:ascii="Times New Roman" w:eastAsia="Batang" w:hAnsi="Times New Roman"/>
          <w:sz w:val="24"/>
          <w:szCs w:val="24"/>
        </w:rPr>
        <w:t xml:space="preserve"> Os documentos complementares à proposta e à habilitação, quando necessários à confirmação daqueles exigidos no edital e já apresentados, serão encaminhados pelo licitante melhor classificado após o encerramento do envio de lances e solicitação do Pregoeiro por meio do sistema, no prazo a ser definido pelo Pregoeiro.</w:t>
      </w:r>
    </w:p>
    <w:p w14:paraId="2B576F74"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8.15.1 -</w:t>
      </w:r>
      <w:r>
        <w:rPr>
          <w:rFonts w:ascii="Times New Roman" w:eastAsia="Batang" w:hAnsi="Times New Roman"/>
          <w:sz w:val="24"/>
          <w:szCs w:val="24"/>
        </w:rPr>
        <w:t xml:space="preserve"> O prazo estabelecido poderá ser prorrogado por prazo não superior ao quantitativo do prazo original, mediante solicitação escrita e justificada do licitante, formulada antes de findo o prazo, e formalmente aceita pelo Pregoeiro.</w:t>
      </w:r>
    </w:p>
    <w:p w14:paraId="545B84A3" w14:textId="77777777" w:rsidR="005C2B9E"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8.16 -</w:t>
      </w:r>
      <w:r>
        <w:rPr>
          <w:rFonts w:ascii="Times New Roman" w:eastAsia="Batang" w:hAnsi="Times New Roman"/>
          <w:sz w:val="24"/>
          <w:szCs w:val="24"/>
        </w:rPr>
        <w:t xml:space="preserve"> Após a abertura da sessão, não cabe desistência da proposta, salvo por motivo justo decorrente de fato superveniente e aceito pelo Pregoeiro.</w:t>
      </w:r>
    </w:p>
    <w:p w14:paraId="55FC56B4" w14:textId="77777777" w:rsidR="005C2B9E" w:rsidRDefault="005C2B9E">
      <w:pPr>
        <w:tabs>
          <w:tab w:val="left" w:pos="420"/>
          <w:tab w:val="left" w:pos="6804"/>
        </w:tabs>
        <w:spacing w:before="120" w:after="0" w:line="240" w:lineRule="auto"/>
        <w:ind w:left="14"/>
        <w:jc w:val="both"/>
        <w:rPr>
          <w:rFonts w:ascii="Times New Roman" w:eastAsia="Batang" w:hAnsi="Times New Roman"/>
          <w:sz w:val="24"/>
          <w:szCs w:val="24"/>
        </w:rPr>
      </w:pPr>
    </w:p>
    <w:p w14:paraId="4C970A09"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t xml:space="preserve">IX – </w:t>
      </w:r>
      <w:r>
        <w:rPr>
          <w:rFonts w:ascii="Times New Roman" w:eastAsia="Batang" w:hAnsi="Times New Roman"/>
          <w:b/>
          <w:bCs/>
          <w:sz w:val="24"/>
          <w:szCs w:val="24"/>
        </w:rPr>
        <w:t>DA SESSÃO PÚBLICA, DO JULGAMENTO DAS PROPOSTAS E FORMULAÇÃO DE LANCES</w:t>
      </w:r>
    </w:p>
    <w:p w14:paraId="5968E285"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sz w:val="24"/>
          <w:szCs w:val="24"/>
        </w:rPr>
        <w:t>9.1 –</w:t>
      </w:r>
      <w:r>
        <w:rPr>
          <w:rFonts w:ascii="Times New Roman" w:hAnsi="Times New Roman"/>
          <w:sz w:val="24"/>
          <w:szCs w:val="24"/>
        </w:rPr>
        <w:t xml:space="preserve"> A abertura da sessão pública ocorrerá na data e na hora indicadas neste edital.</w:t>
      </w:r>
    </w:p>
    <w:p w14:paraId="27C6EDB2"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9.1.1 -</w:t>
      </w:r>
      <w:r>
        <w:rPr>
          <w:rFonts w:ascii="Times New Roman" w:hAnsi="Times New Roman"/>
          <w:sz w:val="24"/>
          <w:szCs w:val="24"/>
        </w:rPr>
        <w:t xml:space="preserve"> O critério de julgamento deste pregão eletrônico será o </w:t>
      </w:r>
      <w:r>
        <w:rPr>
          <w:rFonts w:ascii="Times New Roman" w:hAnsi="Times New Roman"/>
          <w:b/>
          <w:bCs/>
          <w:sz w:val="24"/>
          <w:szCs w:val="24"/>
        </w:rPr>
        <w:t>MENOR PREÇO GLOBAL</w:t>
      </w:r>
      <w:r>
        <w:rPr>
          <w:rFonts w:ascii="Times New Roman" w:hAnsi="Times New Roman"/>
          <w:sz w:val="24"/>
          <w:szCs w:val="24"/>
        </w:rPr>
        <w:t xml:space="preserve">, por meio do modo de disputa </w:t>
      </w:r>
      <w:r>
        <w:rPr>
          <w:rFonts w:ascii="Times New Roman" w:hAnsi="Times New Roman"/>
          <w:b/>
          <w:bCs/>
          <w:sz w:val="24"/>
          <w:szCs w:val="24"/>
        </w:rPr>
        <w:t>ABERTO</w:t>
      </w:r>
      <w:r>
        <w:rPr>
          <w:rFonts w:ascii="Times New Roman" w:hAnsi="Times New Roman"/>
          <w:sz w:val="24"/>
          <w:szCs w:val="24"/>
        </w:rPr>
        <w:t>.</w:t>
      </w:r>
    </w:p>
    <w:p w14:paraId="1599964A"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9.2 -</w:t>
      </w:r>
      <w:r>
        <w:rPr>
          <w:rFonts w:ascii="Times New Roman" w:hAnsi="Times New Roman"/>
          <w:sz w:val="24"/>
          <w:szCs w:val="24"/>
        </w:rPr>
        <w:t xml:space="preserve"> Aberta a sessão pública, o Pregoeiro verificará as propostas apresentadas e desclassificará aquelas que não estejam em conformidade com os requisitos estabelecidos no edital.</w:t>
      </w:r>
    </w:p>
    <w:p w14:paraId="40275971"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9.2.1 -</w:t>
      </w:r>
      <w:r>
        <w:rPr>
          <w:rFonts w:ascii="Times New Roman" w:hAnsi="Times New Roman"/>
          <w:sz w:val="24"/>
          <w:szCs w:val="24"/>
        </w:rPr>
        <w:t xml:space="preserve"> Será desclassificada a proposta que identifique o licitante;</w:t>
      </w:r>
    </w:p>
    <w:p w14:paraId="409F259C"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9.2.2 -</w:t>
      </w:r>
      <w:r>
        <w:rPr>
          <w:rFonts w:ascii="Times New Roman" w:hAnsi="Times New Roman"/>
          <w:sz w:val="24"/>
          <w:szCs w:val="24"/>
        </w:rPr>
        <w:t xml:space="preserve"> A desclassificação de proposta será fundamentada e registrada no sistema, com acompanhamento em tempo real por todos os participantes;</w:t>
      </w:r>
    </w:p>
    <w:p w14:paraId="3472982E"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9.2.3 -</w:t>
      </w:r>
      <w:r>
        <w:rPr>
          <w:rFonts w:ascii="Times New Roman" w:hAnsi="Times New Roman"/>
          <w:sz w:val="24"/>
          <w:szCs w:val="24"/>
        </w:rPr>
        <w:t xml:space="preserve"> A classificação da proposta não impede o seu julgamento definitivo em sentido contrário, levado a efeito na fase de aceitação.</w:t>
      </w:r>
    </w:p>
    <w:p w14:paraId="2B44F3A1"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9.3 -</w:t>
      </w:r>
      <w:r>
        <w:rPr>
          <w:rFonts w:ascii="Times New Roman" w:hAnsi="Times New Roman"/>
          <w:sz w:val="24"/>
          <w:szCs w:val="24"/>
        </w:rPr>
        <w:t xml:space="preserve"> O sistema disponibilizará campo próprio para troca de mensagens entre o Pregoeiro e os licitantes.</w:t>
      </w:r>
    </w:p>
    <w:p w14:paraId="0F4335F1"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9.4 -</w:t>
      </w:r>
      <w:r>
        <w:rPr>
          <w:rFonts w:ascii="Times New Roman" w:hAnsi="Times New Roman"/>
          <w:sz w:val="24"/>
          <w:szCs w:val="24"/>
        </w:rPr>
        <w:t xml:space="preserve"> O sistema ordenará, automaticamente, as propostas classificadas pelo Pregoeiro, sendo que somente estas participarão da etapa de envio de lances.</w:t>
      </w:r>
    </w:p>
    <w:p w14:paraId="207918D9"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9.5 -</w:t>
      </w:r>
      <w:r>
        <w:rPr>
          <w:rFonts w:ascii="Times New Roman" w:hAnsi="Times New Roman"/>
          <w:sz w:val="24"/>
          <w:szCs w:val="24"/>
        </w:rPr>
        <w:t xml:space="preserve"> Classificadas as propostas, considerando-se o critério de </w:t>
      </w:r>
      <w:r>
        <w:rPr>
          <w:rFonts w:ascii="Times New Roman" w:hAnsi="Times New Roman"/>
          <w:b/>
          <w:bCs/>
          <w:sz w:val="24"/>
          <w:szCs w:val="24"/>
        </w:rPr>
        <w:t>MENOR PREÇO GLOBAL</w:t>
      </w:r>
      <w:r>
        <w:rPr>
          <w:rFonts w:ascii="Times New Roman" w:hAnsi="Times New Roman"/>
          <w:sz w:val="24"/>
          <w:szCs w:val="24"/>
        </w:rPr>
        <w:t>, o Pregoeiro dará início à fase competitiva, oportunidade em que os licitantes poderão encaminhar lances exclusivamente por meio do sistema eletrônico.</w:t>
      </w:r>
    </w:p>
    <w:p w14:paraId="60BAFC72"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9.6 -</w:t>
      </w:r>
      <w:r>
        <w:rPr>
          <w:rFonts w:ascii="Times New Roman" w:hAnsi="Times New Roman"/>
          <w:sz w:val="24"/>
          <w:szCs w:val="24"/>
        </w:rPr>
        <w:t xml:space="preserve"> O licitante será imediatamente informado do recebimento do lance e do valor consignado no registro.</w:t>
      </w:r>
    </w:p>
    <w:p w14:paraId="0073836D"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lastRenderedPageBreak/>
        <w:t>9.7 -</w:t>
      </w:r>
      <w:r>
        <w:rPr>
          <w:rFonts w:ascii="Times New Roman" w:hAnsi="Times New Roman"/>
          <w:sz w:val="24"/>
          <w:szCs w:val="24"/>
        </w:rPr>
        <w:t xml:space="preserve"> Os licitantes poderão oferecer lances sucessivos, observados o horário fixado para abertura da sessão pública e as regras estabelecidas neste edital.</w:t>
      </w:r>
    </w:p>
    <w:p w14:paraId="6A859030"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9.8 -</w:t>
      </w:r>
      <w:r>
        <w:rPr>
          <w:rFonts w:ascii="Times New Roman" w:hAnsi="Times New Roman"/>
          <w:sz w:val="24"/>
          <w:szCs w:val="24"/>
        </w:rPr>
        <w:t xml:space="preserve"> Na fase competitiva do pregão, o intervalo entre os lances enviados obedecerá às seguintes regras:</w:t>
      </w:r>
    </w:p>
    <w:p w14:paraId="20F965FF"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9.8.1 -</w:t>
      </w:r>
      <w:r>
        <w:rPr>
          <w:rFonts w:ascii="Times New Roman" w:hAnsi="Times New Roman"/>
          <w:sz w:val="24"/>
          <w:szCs w:val="24"/>
        </w:rPr>
        <w:t xml:space="preserve"> O licitante somente poderá oferecer lance de valor inferior ao último por ele ofertado e registrado pelo sistema;</w:t>
      </w:r>
    </w:p>
    <w:p w14:paraId="1ACA9D70"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9.8.2 -</w:t>
      </w:r>
      <w:r>
        <w:rPr>
          <w:rFonts w:ascii="Times New Roman" w:hAnsi="Times New Roman"/>
          <w:sz w:val="24"/>
          <w:szCs w:val="24"/>
        </w:rPr>
        <w:t xml:space="preserve"> Não serão aceitos dois ou mais lances iguais, prevalecendo aquele que for recebido e registrado primeiro;</w:t>
      </w:r>
    </w:p>
    <w:p w14:paraId="6A069532"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9.8.3 -</w:t>
      </w:r>
      <w:r>
        <w:rPr>
          <w:rFonts w:ascii="Times New Roman" w:hAnsi="Times New Roman"/>
          <w:sz w:val="24"/>
          <w:szCs w:val="24"/>
        </w:rPr>
        <w:t xml:space="preserve"> O intervalo temporal entre os lances enviados pelo mesmo licitante não poderá ser inferior a 5 (cinco) segundos e o intervalo entre lances não poderá ser inferior a 5 (cinco) segundos, sob pena de serem automaticamente descartados pelo sistema os respectivos lances;</w:t>
      </w:r>
    </w:p>
    <w:p w14:paraId="19969242"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9.8.4 -</w:t>
      </w:r>
      <w:r>
        <w:rPr>
          <w:rFonts w:ascii="Times New Roman" w:hAnsi="Times New Roman"/>
          <w:sz w:val="24"/>
          <w:szCs w:val="24"/>
        </w:rPr>
        <w:t xml:space="preserve"> Os lances enviados em desacordo com este item serão descartados automaticamente pelo sistema;</w:t>
      </w:r>
    </w:p>
    <w:p w14:paraId="4075A174"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9.8.5 -</w:t>
      </w:r>
      <w:r>
        <w:rPr>
          <w:rFonts w:ascii="Times New Roman" w:hAnsi="Times New Roman"/>
          <w:sz w:val="24"/>
          <w:szCs w:val="24"/>
        </w:rPr>
        <w:t xml:space="preserve"> Em caso de falha no sistema, os lances em desacordo com a norma deverão ser desconsiderados pelo Pregoeiro;</w:t>
      </w:r>
    </w:p>
    <w:p w14:paraId="7BBFB0CF"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9.8.6 -</w:t>
      </w:r>
      <w:r>
        <w:rPr>
          <w:rFonts w:ascii="Times New Roman" w:hAnsi="Times New Roman"/>
          <w:sz w:val="24"/>
          <w:szCs w:val="24"/>
        </w:rPr>
        <w:t xml:space="preserve"> Na hipótese do subitem anterior, a ocorrência será registrada em campo próprio do sistema.</w:t>
      </w:r>
    </w:p>
    <w:p w14:paraId="03EEF4F5"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9.8.7 -</w:t>
      </w:r>
      <w:r>
        <w:rPr>
          <w:rFonts w:ascii="Times New Roman" w:hAnsi="Times New Roman"/>
          <w:sz w:val="24"/>
          <w:szCs w:val="24"/>
        </w:rPr>
        <w:t xml:space="preserve"> O Pregoeiro, poderá, durante a disputa, como medida excepcional, excluir o lance que possa comprometer, restringir ou frustrar o caráter competitivo do processo licitatório, mediante comunicação eletrônica automática via sistema</w:t>
      </w:r>
    </w:p>
    <w:p w14:paraId="013802F2"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9.9 -</w:t>
      </w:r>
      <w:r>
        <w:rPr>
          <w:rFonts w:ascii="Times New Roman" w:hAnsi="Times New Roman"/>
          <w:sz w:val="24"/>
          <w:szCs w:val="24"/>
        </w:rPr>
        <w:t xml:space="preserve"> Durante a sessão pública, os licitantes serão informados, em tempo real, via sistema, do menor preço ou maior desconto registrado, vedada a identificação do licitante.</w:t>
      </w:r>
    </w:p>
    <w:p w14:paraId="5CD5AA45"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9.10 -</w:t>
      </w:r>
      <w:r>
        <w:rPr>
          <w:rFonts w:ascii="Times New Roman" w:hAnsi="Times New Roman"/>
          <w:sz w:val="24"/>
          <w:szCs w:val="24"/>
        </w:rPr>
        <w:t xml:space="preserve"> Será adotado para o envio de lances no pregão eletrônico o modo de disputa </w:t>
      </w:r>
      <w:r>
        <w:rPr>
          <w:rFonts w:ascii="Times New Roman" w:hAnsi="Times New Roman"/>
          <w:b/>
          <w:bCs/>
          <w:sz w:val="24"/>
          <w:szCs w:val="24"/>
        </w:rPr>
        <w:t>ABERTO</w:t>
      </w:r>
      <w:r>
        <w:rPr>
          <w:rFonts w:ascii="Times New Roman" w:hAnsi="Times New Roman"/>
          <w:sz w:val="24"/>
          <w:szCs w:val="24"/>
        </w:rPr>
        <w:t>, no qual os licitantes apresentarão lances públicos e sucessivos, conforme o critério de julgamento adotado neste edital.</w:t>
      </w:r>
    </w:p>
    <w:p w14:paraId="0BF2074A" w14:textId="77777777" w:rsidR="005C2B9E"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9.11</w:t>
      </w:r>
      <w:r>
        <w:rPr>
          <w:rFonts w:ascii="Times New Roman" w:hAnsi="Times New Roman"/>
          <w:sz w:val="24"/>
          <w:szCs w:val="24"/>
        </w:rPr>
        <w:t xml:space="preserve"> - </w:t>
      </w:r>
      <w:r>
        <w:rPr>
          <w:rFonts w:ascii="Times New Roman" w:hAnsi="Times New Roman" w:cs="Arial"/>
          <w:sz w:val="24"/>
          <w:szCs w:val="24"/>
        </w:rPr>
        <w:t>A etapa de lances na sessão pública durará 10 (dez) minutos, e após isso, será prorrogada automaticamente pelo sistema eletrônico quando houver lance ofertado nos últimos 2 (dois) minutos do período de duração da sessão pública.</w:t>
      </w:r>
    </w:p>
    <w:p w14:paraId="5F0E683D" w14:textId="77777777" w:rsidR="005C2B9E" w:rsidRDefault="00000000">
      <w:pPr>
        <w:pStyle w:val="Default"/>
        <w:spacing w:before="85" w:after="85"/>
        <w:jc w:val="both"/>
      </w:pPr>
      <w:r>
        <w:rPr>
          <w:b/>
          <w:bCs/>
        </w:rPr>
        <w:t>9.12</w:t>
      </w:r>
      <w:r>
        <w:t xml:space="preserve"> </w:t>
      </w:r>
      <w:bookmarkStart w:id="0" w:name="_Hlk169708829"/>
      <w:r>
        <w:t>A prorrogação automática da etapa de envio de lances, de que trata o item anterior, será de dois minutos e ocorrerá sucessivamente sempre que houver lances enviados nesse período de prorrogação, inclusive quando se tratar de lances intermediários.</w:t>
      </w:r>
      <w:bookmarkEnd w:id="0"/>
    </w:p>
    <w:p w14:paraId="46C1DB81" w14:textId="77777777" w:rsidR="005C2B9E" w:rsidRDefault="00000000">
      <w:pPr>
        <w:pStyle w:val="Default"/>
        <w:spacing w:before="85" w:after="85"/>
        <w:jc w:val="both"/>
      </w:pPr>
      <w:r>
        <w:rPr>
          <w:b/>
          <w:bCs/>
        </w:rPr>
        <w:t>9.13</w:t>
      </w:r>
      <w:r>
        <w:t xml:space="preserve"> </w:t>
      </w:r>
      <w:bookmarkStart w:id="1" w:name="_Hlk169708910"/>
      <w:r>
        <w:t>Não havendo novos lances na forma estabelecida nos itens anteriores, a sessão pública encerrar-se-á automaticamente, e o sistema ordenará e divulgará os lances conforme a ordem final de classificação.</w:t>
      </w:r>
      <w:bookmarkEnd w:id="1"/>
    </w:p>
    <w:p w14:paraId="160EBA8F" w14:textId="77777777" w:rsidR="005C2B9E" w:rsidRDefault="00000000">
      <w:pPr>
        <w:pStyle w:val="Default"/>
        <w:spacing w:before="85" w:after="85"/>
        <w:jc w:val="both"/>
      </w:pPr>
      <w:r>
        <w:rPr>
          <w:b/>
          <w:bCs/>
        </w:rPr>
        <w:t>9.14</w:t>
      </w:r>
      <w: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E17B97E" w14:textId="77777777" w:rsidR="005C2B9E" w:rsidRDefault="00000000">
      <w:pPr>
        <w:pStyle w:val="Default"/>
        <w:spacing w:before="85" w:after="85"/>
        <w:jc w:val="both"/>
      </w:pPr>
      <w:r>
        <w:rPr>
          <w:b/>
          <w:bCs/>
        </w:rPr>
        <w:t>9.15</w:t>
      </w:r>
      <w:r>
        <w:t xml:space="preserve"> Após o reinício previsto no item supra, os licitantes serão convocados para apresentar lances intermediários.</w:t>
      </w:r>
    </w:p>
    <w:p w14:paraId="7F3403CA" w14:textId="77777777" w:rsidR="005C2B9E" w:rsidRDefault="00000000">
      <w:pPr>
        <w:spacing w:before="85" w:after="85"/>
        <w:jc w:val="both"/>
        <w:rPr>
          <w:rFonts w:ascii="Times New Roman" w:hAnsi="Times New Roman"/>
          <w:sz w:val="24"/>
          <w:szCs w:val="24"/>
        </w:rPr>
      </w:pPr>
      <w:r>
        <w:rPr>
          <w:rFonts w:ascii="Times New Roman" w:hAnsi="Times New Roman"/>
          <w:b/>
          <w:bCs/>
          <w:sz w:val="24"/>
          <w:szCs w:val="24"/>
        </w:rPr>
        <w:lastRenderedPageBreak/>
        <w:t>9.16</w:t>
      </w:r>
      <w:r>
        <w:rPr>
          <w:rFonts w:ascii="Times New Roman" w:hAnsi="Times New Roman"/>
          <w:sz w:val="24"/>
          <w:szCs w:val="24"/>
        </w:rPr>
        <w:t>. Após o término dos prazos estabelecidos nos itens anteriores, o sistema ordenará os lances segundo a ordem crescente de valores.</w:t>
      </w:r>
    </w:p>
    <w:p w14:paraId="0982679A"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9.17</w:t>
      </w:r>
      <w:r>
        <w:rPr>
          <w:rFonts w:ascii="Times New Roman" w:hAnsi="Times New Roman" w:cs="Arial"/>
          <w:color w:val="000000"/>
          <w:sz w:val="24"/>
          <w:szCs w:val="24"/>
        </w:rPr>
        <w:t xml:space="preserve"> Não serão aceitos dois ou mais lances de mesmo valor, prevalecendo aquele que for recebido e registrado em primeiro lugar.</w:t>
      </w:r>
    </w:p>
    <w:p w14:paraId="6ACD454D"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9.18</w:t>
      </w:r>
      <w:r>
        <w:rPr>
          <w:rFonts w:ascii="Times New Roman" w:hAnsi="Times New Roman" w:cs="Arial"/>
          <w:color w:val="000000"/>
          <w:sz w:val="24"/>
          <w:szCs w:val="24"/>
        </w:rPr>
        <w:t xml:space="preserve"> Durante o transcurso da sessão pública, os licitantes serão informados, em tempo real, do valor do menor lance registrado, vedada a identificação do licitante. </w:t>
      </w:r>
    </w:p>
    <w:p w14:paraId="5FE88A51"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 xml:space="preserve">9.19 </w:t>
      </w:r>
      <w:r>
        <w:rPr>
          <w:rFonts w:ascii="Times New Roman" w:hAnsi="Times New Roman" w:cs="Arial"/>
          <w:color w:val="000000"/>
          <w:sz w:val="24"/>
          <w:szCs w:val="24"/>
        </w:rPr>
        <w:t xml:space="preserve">No caso de desconexão com o Pregoeiro, no decorrer da etapa competitiva do Pregão, o sistema eletrônico poderá permanecer acessível aos licitantes para a recepção dos lances. </w:t>
      </w:r>
    </w:p>
    <w:p w14:paraId="770F1C44"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9.20</w:t>
      </w:r>
      <w:r>
        <w:rPr>
          <w:rFonts w:ascii="Times New Roman" w:hAnsi="Times New Roman" w:cs="Arial"/>
          <w:color w:val="000000"/>
          <w:sz w:val="24"/>
          <w:szCs w:val="24"/>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9BC4A8D"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9.21</w:t>
      </w:r>
      <w:r>
        <w:rPr>
          <w:rFonts w:ascii="Times New Roman" w:hAnsi="Times New Roman" w:cs="Arial"/>
          <w:color w:val="000000"/>
          <w:sz w:val="24"/>
          <w:szCs w:val="24"/>
        </w:rPr>
        <w:t xml:space="preserve"> O Critério de julgamento adotado será o de menor preço, conforme definido neste Edital e seus anexos.</w:t>
      </w:r>
    </w:p>
    <w:p w14:paraId="6784C1C9"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9.22</w:t>
      </w:r>
      <w:r>
        <w:rPr>
          <w:rFonts w:ascii="Times New Roman" w:hAnsi="Times New Roman" w:cs="Arial"/>
          <w:color w:val="000000"/>
          <w:sz w:val="24"/>
          <w:szCs w:val="24"/>
        </w:rPr>
        <w:t xml:space="preserve"> Caso o licitante não apresente lances, concorrerá com o valor de sua proposta.</w:t>
      </w:r>
    </w:p>
    <w:p w14:paraId="6B0B2F8F"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9.23</w:t>
      </w:r>
      <w:r>
        <w:rPr>
          <w:rFonts w:ascii="Times New Roman" w:hAnsi="Times New Roman" w:cs="Arial"/>
          <w:color w:val="000000"/>
          <w:sz w:val="24"/>
          <w:szCs w:val="24"/>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272C5E3D"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9.24</w:t>
      </w:r>
      <w:r>
        <w:rPr>
          <w:rFonts w:ascii="Times New Roman" w:hAnsi="Times New Roman" w:cs="Arial"/>
          <w:color w:val="000000"/>
          <w:sz w:val="24"/>
          <w:szCs w:val="24"/>
        </w:rPr>
        <w:t xml:space="preserve"> Nessas condições, as propostas de microempresas e empresas de pequeno porte que se encontrarem na faixa de até 5% (cinco por cento) acima da melhor proposta ou melhor lance serão consideradas empatadas com a primeira colocada.</w:t>
      </w:r>
    </w:p>
    <w:p w14:paraId="6C28032E"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9.25</w:t>
      </w:r>
      <w:r>
        <w:rPr>
          <w:rFonts w:ascii="Times New Roman" w:hAnsi="Times New Roman" w:cs="Arial"/>
          <w:color w:val="000000"/>
          <w:sz w:val="24"/>
          <w:szCs w:val="24"/>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60EDE51"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9.26</w:t>
      </w:r>
      <w:r>
        <w:rPr>
          <w:rFonts w:ascii="Times New Roman" w:hAnsi="Times New Roman" w:cs="Arial"/>
          <w:color w:val="000000"/>
          <w:sz w:val="24"/>
          <w:szCs w:val="24"/>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373A4C4"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9.27</w:t>
      </w:r>
      <w:r>
        <w:rPr>
          <w:rFonts w:ascii="Times New Roman" w:hAnsi="Times New Roman" w:cs="Arial"/>
          <w:color w:val="000000"/>
          <w:sz w:val="24"/>
          <w:szCs w:val="24"/>
        </w:rPr>
        <w:t xml:space="preserve"> No caso de equivalência dos valores apresentados pelas microempresas e empresas de pequeno porte que se encontrem nos intervalos estabelecidos nos subitens anteriores, será </w:t>
      </w:r>
      <w:r>
        <w:rPr>
          <w:rFonts w:ascii="Times New Roman" w:hAnsi="Times New Roman" w:cs="Arial"/>
          <w:color w:val="000000"/>
          <w:sz w:val="24"/>
          <w:szCs w:val="24"/>
        </w:rPr>
        <w:lastRenderedPageBreak/>
        <w:t>realizado sorteio entre elas para que se identifique aquela que primeiro poderá apresentar melhor oferta.</w:t>
      </w:r>
    </w:p>
    <w:p w14:paraId="5684B6CA"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9.28</w:t>
      </w:r>
      <w:r>
        <w:rPr>
          <w:rFonts w:ascii="Times New Roman" w:hAnsi="Times New Roman" w:cs="Arial"/>
          <w:color w:val="000000"/>
          <w:sz w:val="24"/>
          <w:szCs w:val="24"/>
        </w:rPr>
        <w:t xml:space="preserve"> Só poderá haver empate entre propostas iguais (não seguidas de lances), ou entre lances finais da fase fechada do modo de disputa aberto e fechado. </w:t>
      </w:r>
    </w:p>
    <w:p w14:paraId="3C653714"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9.29</w:t>
      </w:r>
      <w:r>
        <w:rPr>
          <w:rFonts w:ascii="Times New Roman" w:hAnsi="Times New Roman" w:cs="Arial"/>
          <w:color w:val="000000"/>
          <w:sz w:val="24"/>
          <w:szCs w:val="24"/>
        </w:rPr>
        <w:t xml:space="preserve"> Havendo eventual empate entre propostas ou lances, o critério de desempate será aquele previsto no art. 60 da Lei nº 14.133, de 2021, assegurando-se a preferência, sucessivamente, aos bens produzidos ou prestados por:</w:t>
      </w:r>
    </w:p>
    <w:p w14:paraId="11FECFFD" w14:textId="77777777" w:rsidR="005C2B9E" w:rsidRDefault="00000000">
      <w:pPr>
        <w:spacing w:before="85" w:after="85"/>
        <w:jc w:val="both"/>
        <w:rPr>
          <w:rFonts w:ascii="Times New Roman" w:hAnsi="Times New Roman"/>
          <w:sz w:val="24"/>
          <w:szCs w:val="24"/>
        </w:rPr>
      </w:pPr>
      <w:r>
        <w:rPr>
          <w:rFonts w:ascii="Times New Roman" w:hAnsi="Times New Roman" w:cs="Arial"/>
          <w:color w:val="000000"/>
          <w:sz w:val="24"/>
          <w:szCs w:val="24"/>
        </w:rPr>
        <w:t>9.29.1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7DC897"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 xml:space="preserve">9.29.2 </w:t>
      </w:r>
      <w:r>
        <w:rPr>
          <w:rFonts w:ascii="Times New Roman" w:hAnsi="Times New Roman" w:cs="Arial"/>
          <w:color w:val="000000"/>
          <w:sz w:val="24"/>
          <w:szCs w:val="24"/>
        </w:rPr>
        <w:t>Por empresas brasileiras;</w:t>
      </w:r>
    </w:p>
    <w:p w14:paraId="2F854517"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9.29.3</w:t>
      </w:r>
      <w:r>
        <w:rPr>
          <w:rFonts w:ascii="Times New Roman" w:hAnsi="Times New Roman" w:cs="Arial"/>
          <w:color w:val="000000"/>
          <w:sz w:val="24"/>
          <w:szCs w:val="24"/>
        </w:rPr>
        <w:t xml:space="preserve"> Por empresas que invistam em pesquisa e no desenvolvimento de tecnologia no País;</w:t>
      </w:r>
    </w:p>
    <w:p w14:paraId="26B83D21" w14:textId="77777777" w:rsidR="005C2B9E" w:rsidRDefault="00000000">
      <w:pPr>
        <w:spacing w:before="85" w:after="85"/>
        <w:jc w:val="both"/>
      </w:pPr>
      <w:r>
        <w:rPr>
          <w:rFonts w:ascii="Times New Roman" w:hAnsi="Times New Roman" w:cs="Arial"/>
          <w:b/>
          <w:bCs/>
          <w:color w:val="000000"/>
          <w:sz w:val="24"/>
          <w:szCs w:val="24"/>
        </w:rPr>
        <w:t>9.29.4</w:t>
      </w:r>
      <w:r>
        <w:rPr>
          <w:rFonts w:ascii="Times New Roman" w:hAnsi="Times New Roman" w:cs="Arial"/>
          <w:color w:val="000000"/>
          <w:sz w:val="24"/>
          <w:szCs w:val="24"/>
        </w:rPr>
        <w:t xml:space="preserve"> </w:t>
      </w:r>
      <w:r>
        <w:rPr>
          <w:rFonts w:ascii="Times New Roman" w:hAnsi="Times New Roman"/>
          <w:sz w:val="24"/>
          <w:szCs w:val="24"/>
        </w:rPr>
        <w:t>empresas que comprovem a prática de mitigação, nos termos da </w:t>
      </w:r>
      <w:hyperlink r:id="rId11" w:anchor=":~:text=LEI%20N%C2%BA%2012.187%2C%20DE%2029%20DE%20DEZEMBRO%20DE%202009.&amp;text=Institui%20a%20Pol%C3%ADtica%20Nacional%20sobre,PNMC%20e%20d%C3%A1%20outras%20provid%C3%AAncias." w:history="1">
        <w:r>
          <w:rPr>
            <w:rStyle w:val="Hyperlink"/>
            <w:rFonts w:ascii="Times New Roman" w:hAnsi="Times New Roman"/>
            <w:sz w:val="24"/>
            <w:szCs w:val="24"/>
          </w:rPr>
          <w:t>Lei nº 12.187, de 29 de dezembro de 2009</w:t>
        </w:r>
      </w:hyperlink>
      <w:r>
        <w:rPr>
          <w:rFonts w:ascii="Times New Roman" w:hAnsi="Times New Roman"/>
          <w:sz w:val="24"/>
          <w:szCs w:val="24"/>
        </w:rPr>
        <w:t>.</w:t>
      </w:r>
    </w:p>
    <w:p w14:paraId="050DD031"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9.30</w:t>
      </w:r>
      <w:r>
        <w:rPr>
          <w:rFonts w:ascii="Times New Roman" w:hAnsi="Times New Roman" w:cs="Arial"/>
          <w:color w:val="000000"/>
          <w:sz w:val="24"/>
          <w:szCs w:val="24"/>
        </w:rPr>
        <w:t xml:space="preserve"> Persistindo o empate, a proposta vencedora será sorteada pelo sistema eletrônico dentre as propostas ou os lances empatados. </w:t>
      </w:r>
    </w:p>
    <w:p w14:paraId="7DF899ED" w14:textId="77777777" w:rsidR="005C2B9E" w:rsidRDefault="00000000">
      <w:pPr>
        <w:spacing w:before="85" w:after="85"/>
        <w:jc w:val="both"/>
        <w:rPr>
          <w:rFonts w:ascii="Times New Roman" w:hAnsi="Times New Roman"/>
          <w:sz w:val="24"/>
          <w:szCs w:val="24"/>
        </w:rPr>
      </w:pPr>
      <w:r>
        <w:rPr>
          <w:rFonts w:ascii="Times New Roman" w:hAnsi="Times New Roman" w:cs="Arial"/>
          <w:b/>
          <w:bCs/>
          <w:color w:val="000000"/>
          <w:sz w:val="24"/>
          <w:szCs w:val="24"/>
        </w:rPr>
        <w:t>9.31</w:t>
      </w:r>
      <w:r>
        <w:rPr>
          <w:rFonts w:ascii="Times New Roman" w:hAnsi="Times New Roman" w:cs="Arial"/>
          <w:color w:val="000000"/>
          <w:sz w:val="24"/>
          <w:szCs w:val="24"/>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53606CB" w14:textId="77777777" w:rsidR="005C2B9E" w:rsidRDefault="00000000">
      <w:pPr>
        <w:pStyle w:val="PargrafodaLista"/>
        <w:spacing w:before="85" w:after="85"/>
        <w:ind w:left="0"/>
        <w:contextualSpacing w:val="0"/>
        <w:jc w:val="both"/>
        <w:rPr>
          <w:rFonts w:ascii="Times New Roman" w:hAnsi="Times New Roman"/>
          <w:sz w:val="24"/>
          <w:szCs w:val="24"/>
        </w:rPr>
      </w:pPr>
      <w:r>
        <w:rPr>
          <w:rFonts w:ascii="Times New Roman" w:hAnsi="Times New Roman" w:cs="Arial"/>
          <w:color w:val="000000"/>
          <w:sz w:val="24"/>
          <w:szCs w:val="24"/>
          <w:lang w:eastAsia="en-US"/>
        </w:rPr>
        <w:t>9.31.1 A negociação será realizada por meio do sistema, podendo ser acompanhada pelos demais licitantes.</w:t>
      </w:r>
    </w:p>
    <w:p w14:paraId="44AF7097" w14:textId="77777777" w:rsidR="005C2B9E" w:rsidRDefault="00000000">
      <w:pPr>
        <w:pStyle w:val="PargrafodaLista"/>
        <w:tabs>
          <w:tab w:val="left" w:pos="-12"/>
        </w:tabs>
        <w:spacing w:before="85" w:after="85"/>
        <w:ind w:left="0"/>
        <w:contextualSpacing w:val="0"/>
        <w:jc w:val="both"/>
        <w:rPr>
          <w:rFonts w:ascii="Times New Roman" w:hAnsi="Times New Roman"/>
          <w:sz w:val="24"/>
          <w:szCs w:val="24"/>
        </w:rPr>
      </w:pPr>
      <w:r>
        <w:rPr>
          <w:rFonts w:ascii="Times New Roman" w:hAnsi="Times New Roman" w:cs="Arial"/>
          <w:color w:val="000000"/>
          <w:sz w:val="24"/>
          <w:szCs w:val="24"/>
        </w:rPr>
        <w:t>9.31.2 O pregoeiro solicitará ao licitante melhor classificado que, no prazo de até 02 (duas)</w:t>
      </w:r>
      <w:r>
        <w:rPr>
          <w:rFonts w:ascii="Times New Roman" w:hAnsi="Times New Roman" w:cs="Arial"/>
          <w:i/>
          <w:iCs/>
          <w:color w:val="000000"/>
          <w:sz w:val="24"/>
          <w:szCs w:val="24"/>
        </w:rPr>
        <w:t xml:space="preserve"> </w:t>
      </w:r>
      <w:r>
        <w:rPr>
          <w:rFonts w:ascii="Times New Roman" w:hAnsi="Times New Roman" w:cs="Arial"/>
          <w:color w:val="000000"/>
          <w:sz w:val="24"/>
          <w:szCs w:val="24"/>
        </w:rPr>
        <w:t xml:space="preserve">horas, envie a proposta adequada ao último lance ofertado após a negociação realizada, acompanhada, se for o caso, dos documentos complementares, quando necessários à confirmação daqueles exigidos neste Edital e já apresentados. </w:t>
      </w:r>
    </w:p>
    <w:p w14:paraId="197F1857" w14:textId="77777777" w:rsidR="005C2B9E" w:rsidRDefault="00000000">
      <w:pPr>
        <w:spacing w:before="120" w:after="0" w:line="240" w:lineRule="auto"/>
        <w:jc w:val="both"/>
        <w:rPr>
          <w:rFonts w:ascii="Times New Roman" w:hAnsi="Times New Roman"/>
          <w:sz w:val="24"/>
          <w:szCs w:val="24"/>
        </w:rPr>
      </w:pPr>
      <w:r>
        <w:rPr>
          <w:rFonts w:ascii="Times New Roman" w:hAnsi="Times New Roman" w:cs="Arial"/>
          <w:b/>
          <w:bCs/>
          <w:color w:val="000000"/>
          <w:sz w:val="24"/>
          <w:szCs w:val="24"/>
        </w:rPr>
        <w:t>9.32</w:t>
      </w:r>
      <w:bookmarkStart w:id="2" w:name="_Hlk169708956"/>
      <w:r>
        <w:rPr>
          <w:rFonts w:ascii="Times New Roman" w:hAnsi="Times New Roman" w:cs="Arial"/>
          <w:color w:val="000000"/>
          <w:sz w:val="24"/>
          <w:szCs w:val="24"/>
        </w:rPr>
        <w:t xml:space="preserve"> Após a negociação do preço, o Pregoeiro iniciará a fase de aceitação e julgamento da proposta.</w:t>
      </w:r>
      <w:bookmarkEnd w:id="2"/>
    </w:p>
    <w:p w14:paraId="3BD58005" w14:textId="77777777" w:rsidR="005C2B9E" w:rsidRDefault="005C2B9E">
      <w:pPr>
        <w:spacing w:before="120" w:after="0" w:line="240" w:lineRule="auto"/>
        <w:jc w:val="both"/>
        <w:rPr>
          <w:rFonts w:ascii="Times New Roman" w:hAnsi="Times New Roman"/>
          <w:sz w:val="24"/>
          <w:szCs w:val="24"/>
        </w:rPr>
      </w:pPr>
    </w:p>
    <w:p w14:paraId="089D256C"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bookmarkStart w:id="3" w:name="_Hlk174630429"/>
      <w:r>
        <w:rPr>
          <w:rFonts w:ascii="Times New Roman" w:eastAsia="Batang" w:hAnsi="Times New Roman"/>
          <w:b/>
          <w:sz w:val="24"/>
          <w:szCs w:val="24"/>
        </w:rPr>
        <w:t xml:space="preserve">X - </w:t>
      </w:r>
      <w:r>
        <w:rPr>
          <w:rFonts w:ascii="Times New Roman" w:eastAsia="Batang" w:hAnsi="Times New Roman"/>
          <w:b/>
          <w:bCs/>
          <w:sz w:val="24"/>
          <w:szCs w:val="24"/>
        </w:rPr>
        <w:t>DOCUMENTOS DE HABILITAÇÃO</w:t>
      </w:r>
    </w:p>
    <w:p w14:paraId="0FB15F67"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10.1 -</w:t>
      </w:r>
      <w:r>
        <w:rPr>
          <w:rFonts w:eastAsia="Times New Roman" w:cs="Calibri"/>
          <w:bCs/>
          <w:sz w:val="24"/>
          <w:szCs w:val="24"/>
          <w:lang w:eastAsia="pt-BR"/>
        </w:rPr>
        <w:t xml:space="preserve"> </w:t>
      </w:r>
      <w:r>
        <w:rPr>
          <w:rFonts w:ascii="Times New Roman" w:eastAsia="Batang" w:hAnsi="Times New Roman"/>
          <w:bCs/>
          <w:sz w:val="24"/>
          <w:szCs w:val="24"/>
        </w:rPr>
        <w:t>Os documentos de habilitação elencados abaixo serão enviados por meio do sistema, em formato digital, no prazo de 2 (duas) horas, prorrogável por igual período, contado da solicitação do Pregoeiro.</w:t>
      </w:r>
    </w:p>
    <w:p w14:paraId="22A5AA9E"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10.1.1 -</w:t>
      </w:r>
      <w:r>
        <w:rPr>
          <w:rFonts w:ascii="Times New Roman" w:eastAsia="Batang" w:hAnsi="Times New Roman"/>
          <w:bCs/>
          <w:sz w:val="24"/>
          <w:szCs w:val="24"/>
        </w:rPr>
        <w:t xml:space="preserve"> Para fins do disposto neste edital, entende-se como documento digital aquele natodigital ou digitalizado, este último em formato PDF, sendo vedada a apresentação de arquivos em imagem.</w:t>
      </w:r>
    </w:p>
    <w:p w14:paraId="488F2BB7"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10.1.2 -</w:t>
      </w:r>
      <w:r>
        <w:rPr>
          <w:rFonts w:ascii="Times New Roman" w:eastAsia="Batang" w:hAnsi="Times New Roman"/>
          <w:bCs/>
          <w:sz w:val="24"/>
          <w:szCs w:val="24"/>
        </w:rPr>
        <w:t xml:space="preserve"> A documentação exigida para fins de habilitação jurídica, fiscal, social e trabalhista e econômico-financeira, deverá constar no registro cadastral no SICAF.</w:t>
      </w:r>
    </w:p>
    <w:p w14:paraId="378CEDCA"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10.1.2.1 -</w:t>
      </w:r>
      <w:r>
        <w:rPr>
          <w:rFonts w:ascii="Times New Roman" w:eastAsia="Batang" w:hAnsi="Times New Roman"/>
          <w:bCs/>
          <w:sz w:val="24"/>
          <w:szCs w:val="24"/>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348B1DD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10.1.2.2 -</w:t>
      </w:r>
      <w:r>
        <w:rPr>
          <w:rFonts w:ascii="Times New Roman" w:eastAsia="Batang" w:hAnsi="Times New Roman"/>
          <w:bCs/>
          <w:sz w:val="24"/>
          <w:szCs w:val="24"/>
        </w:rPr>
        <w:t xml:space="preserve"> A não observância do disposto no item anterior poderá ensejar desclassificação no momento da habilitação. (IN nº 3/2018, art. 7º, parágrafo único).</w:t>
      </w:r>
    </w:p>
    <w:p w14:paraId="5804E1E7"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10.1.2.3 –</w:t>
      </w:r>
      <w:r>
        <w:rPr>
          <w:rFonts w:ascii="Times New Roman" w:eastAsia="Batang" w:hAnsi="Times New Roman"/>
          <w:bCs/>
          <w:sz w:val="24"/>
          <w:szCs w:val="24"/>
        </w:rPr>
        <w:t xml:space="preserve"> Em caso pendência/ocorrência no SICAF, deverá o licitante encaminhar a documentação atualizada, juntamente com os documentos de habilitação, no prazo de 1 (uma) hora, prorrogável por igual período, contado da solicitação do Pregoeiro.</w:t>
      </w:r>
    </w:p>
    <w:p w14:paraId="4E5B2D1D"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10.1.3 -</w:t>
      </w:r>
      <w:r>
        <w:rPr>
          <w:rFonts w:ascii="Times New Roman" w:eastAsia="Batang" w:hAnsi="Times New Roman"/>
          <w:bCs/>
          <w:sz w:val="24"/>
          <w:szCs w:val="24"/>
        </w:rPr>
        <w:t xml:space="preserve"> O Pregoeiro poderá solicitar a qualquer momento, em caráter de diligência, que os documentos de habilitação remetidos sejam apresentados em original ou por cópia autenticada. Para tanto, os documentos deverão ser encaminhados a Departamento de Licitações da Prefeitura Municipal no prazo estabelecido pelo Pregoeiro.</w:t>
      </w:r>
    </w:p>
    <w:p w14:paraId="1ADE9558"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10.2 -</w:t>
      </w:r>
      <w:r>
        <w:rPr>
          <w:rFonts w:ascii="Times New Roman" w:eastAsia="Batang" w:hAnsi="Times New Roman"/>
          <w:bCs/>
          <w:sz w:val="24"/>
          <w:szCs w:val="24"/>
        </w:rPr>
        <w:t xml:space="preserve"> Como condição prévia ao exame da documentação de habilitação, o Pregoeiro verificará o eventual descumprimento das condições de participação previstas neste edital, especialmente quanto à existência de sanção que impeça a participação no certame ou a futura contratação:</w:t>
      </w:r>
    </w:p>
    <w:p w14:paraId="68140258"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10.2.1 -</w:t>
      </w:r>
      <w:r>
        <w:rPr>
          <w:rFonts w:ascii="Times New Roman" w:eastAsia="Batang" w:hAnsi="Times New Roman"/>
          <w:bCs/>
          <w:sz w:val="24"/>
          <w:szCs w:val="24"/>
        </w:rPr>
        <w:t xml:space="preserve"> Na avaliação descrita acima serão consultados os seguintes cadastros:</w:t>
      </w:r>
    </w:p>
    <w:p w14:paraId="62AADEB5"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10.2.1.1 -</w:t>
      </w:r>
      <w:r>
        <w:rPr>
          <w:rFonts w:ascii="Times New Roman" w:eastAsia="Batang" w:hAnsi="Times New Roman"/>
          <w:bCs/>
          <w:sz w:val="24"/>
          <w:szCs w:val="24"/>
        </w:rPr>
        <w:t xml:space="preserve"> Consulta Consolidada de Pessoa Jurídica do Tribunal de Contas da União no endereço eletrônico https://certidoes-apf.apps.tcu.gov.br/;</w:t>
      </w:r>
    </w:p>
    <w:p w14:paraId="502E9F71"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10.2.1.2 -</w:t>
      </w:r>
      <w:r>
        <w:rPr>
          <w:rFonts w:ascii="Times New Roman" w:eastAsia="Batang" w:hAnsi="Times New Roman"/>
          <w:bCs/>
          <w:sz w:val="24"/>
          <w:szCs w:val="24"/>
        </w:rPr>
        <w:t xml:space="preserve"> Cadastro de Fornecedores Sancionados do Sistema Integrado de Gestão Administrativa (SIGA-ES) no endereço eletrônico </w:t>
      </w:r>
      <w:hyperlink r:id="rId12">
        <w:r>
          <w:rPr>
            <w:rStyle w:val="Hyperlink"/>
            <w:rFonts w:ascii="Times New Roman" w:eastAsia="Batang" w:hAnsi="Times New Roman"/>
            <w:bCs/>
            <w:sz w:val="24"/>
            <w:szCs w:val="24"/>
          </w:rPr>
          <w:t>https://www.siga.es.gov.br/</w:t>
        </w:r>
      </w:hyperlink>
      <w:r>
        <w:rPr>
          <w:rFonts w:ascii="Times New Roman" w:eastAsia="Batang" w:hAnsi="Times New Roman"/>
          <w:bCs/>
          <w:sz w:val="24"/>
          <w:szCs w:val="24"/>
        </w:rPr>
        <w:t>;</w:t>
      </w:r>
    </w:p>
    <w:p w14:paraId="27A79C27"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10.2.1.3 - </w:t>
      </w:r>
      <w:r>
        <w:rPr>
          <w:rFonts w:ascii="Times New Roman" w:eastAsia="Batang" w:hAnsi="Times New Roman"/>
          <w:bCs/>
          <w:sz w:val="24"/>
          <w:szCs w:val="24"/>
        </w:rPr>
        <w:t>Lista de empresas inidôneas e proibidas de contratar do Tribunal de Contas do Estado do Espírito Santo e nos endereços eletrônicos:</w:t>
      </w:r>
    </w:p>
    <w:p w14:paraId="641E3F6F"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10.2.1.3.1 -</w:t>
      </w:r>
      <w:r>
        <w:rPr>
          <w:rFonts w:ascii="Times New Roman" w:eastAsia="Batang" w:hAnsi="Times New Roman"/>
          <w:bCs/>
          <w:sz w:val="24"/>
          <w:szCs w:val="24"/>
        </w:rPr>
        <w:t xml:space="preserve"> https://www.tce.es.gov.br/portal-datransparencia/consultas/lista-de-responsaveis/empresas-inidoneas/;</w:t>
      </w:r>
    </w:p>
    <w:p w14:paraId="7774792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10.2.1.3.2 -</w:t>
      </w:r>
      <w:r>
        <w:rPr>
          <w:rFonts w:ascii="Times New Roman" w:eastAsia="Batang" w:hAnsi="Times New Roman"/>
          <w:bCs/>
          <w:sz w:val="24"/>
          <w:szCs w:val="24"/>
        </w:rPr>
        <w:t xml:space="preserve"> </w:t>
      </w:r>
      <w:hyperlink r:id="rId13">
        <w:r>
          <w:rPr>
            <w:rStyle w:val="Hyperlink"/>
            <w:rFonts w:ascii="Times New Roman" w:eastAsia="Batang" w:hAnsi="Times New Roman"/>
            <w:bCs/>
            <w:sz w:val="24"/>
            <w:szCs w:val="24"/>
          </w:rPr>
          <w:t>https://www.tcees.tc.br/portal-da-transparencia/consultas/listade-responsaveis/proibidos-de-contratar/</w:t>
        </w:r>
      </w:hyperlink>
      <w:r>
        <w:rPr>
          <w:rFonts w:ascii="Times New Roman" w:eastAsia="Batang" w:hAnsi="Times New Roman"/>
          <w:bCs/>
          <w:sz w:val="24"/>
          <w:szCs w:val="24"/>
        </w:rPr>
        <w:t>.</w:t>
      </w:r>
    </w:p>
    <w:p w14:paraId="4A59130E"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10.2.1.4 -</w:t>
      </w:r>
      <w:r>
        <w:rPr>
          <w:rFonts w:ascii="Times New Roman" w:eastAsia="Batang" w:hAnsi="Times New Roman"/>
          <w:bCs/>
          <w:sz w:val="24"/>
          <w:szCs w:val="24"/>
        </w:rPr>
        <w:t xml:space="preserve"> </w:t>
      </w:r>
      <w:r>
        <w:rPr>
          <w:rFonts w:ascii="Times New Roman" w:eastAsia="Batang" w:hAnsi="Times New Roman"/>
          <w:sz w:val="24"/>
          <w:szCs w:val="24"/>
        </w:rPr>
        <w:t>Cadastro de Empresas Inidôneas e Suspensas (</w:t>
      </w:r>
      <w:r>
        <w:rPr>
          <w:rFonts w:ascii="Times New Roman" w:hAnsi="Times New Roman"/>
          <w:color w:val="000000"/>
          <w:sz w:val="24"/>
          <w:szCs w:val="24"/>
        </w:rPr>
        <w:t xml:space="preserve">CEIS/CNEP) </w:t>
      </w:r>
      <w:r>
        <w:rPr>
          <w:rFonts w:ascii="Times New Roman" w:eastAsia="Batang" w:hAnsi="Times New Roman"/>
          <w:bCs/>
          <w:sz w:val="24"/>
          <w:szCs w:val="24"/>
        </w:rPr>
        <w:t xml:space="preserve">no endereço eletrônico </w:t>
      </w:r>
      <w:hyperlink r:id="rId14">
        <w:r>
          <w:rPr>
            <w:rStyle w:val="Hyperlink"/>
            <w:rFonts w:ascii="Times New Roman" w:hAnsi="Times New Roman"/>
            <w:sz w:val="24"/>
            <w:szCs w:val="24"/>
          </w:rPr>
          <w:t>https://portaldatransparencia.gov.br/sancoes/consulta?cadastro=1&amp;ordenarPor=nomeSancionado&amp;direcao=asc</w:t>
        </w:r>
      </w:hyperlink>
      <w:r>
        <w:rPr>
          <w:rFonts w:ascii="Times New Roman" w:hAnsi="Times New Roman"/>
          <w:sz w:val="24"/>
          <w:szCs w:val="24"/>
        </w:rPr>
        <w:t xml:space="preserve">. </w:t>
      </w:r>
    </w:p>
    <w:p w14:paraId="563CCEFC"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10.2.2 - </w:t>
      </w:r>
      <w:r>
        <w:rPr>
          <w:rFonts w:ascii="Times New Roman" w:eastAsia="Batang" w:hAnsi="Times New Roman"/>
          <w:bCs/>
          <w:sz w:val="24"/>
          <w:szCs w:val="24"/>
        </w:rPr>
        <w:t>Constatada a existência de sanção que inviabilize a participação ou contratação, o Pregoeiro reputará o licitante inabilitado, por falta de condição de participação.</w:t>
      </w:r>
    </w:p>
    <w:p w14:paraId="75DD7DA6"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10.2.3 - </w:t>
      </w:r>
      <w:r>
        <w:rPr>
          <w:rFonts w:ascii="Times New Roman" w:eastAsia="Batang" w:hAnsi="Times New Roman"/>
          <w:bCs/>
          <w:sz w:val="24"/>
          <w:szCs w:val="24"/>
        </w:rPr>
        <w:t>Após a verificação das condições dos itens antecedentes, os documentos de habilitação serão apreciados nos termos do presente edital e, após análise, será declarado vencedor o licitante classificado em primeiro lugar, caso tenha atendido a todas as exigências do edital.</w:t>
      </w:r>
    </w:p>
    <w:p w14:paraId="4D2A3CEB"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10.2.3.1 - </w:t>
      </w:r>
      <w:r>
        <w:rPr>
          <w:rFonts w:ascii="Times New Roman" w:eastAsia="Batang" w:hAnsi="Times New Roman"/>
          <w:bCs/>
          <w:sz w:val="24"/>
          <w:szCs w:val="24"/>
        </w:rPr>
        <w:t xml:space="preserve">A verificação nos sítios eletrônicos oficiais de órgãos e entidades emissores de certidões constitui meio legal de prova, para fins de habilitação; </w:t>
      </w:r>
    </w:p>
    <w:p w14:paraId="686FE7B3"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 xml:space="preserve">10.2.3.2 - </w:t>
      </w:r>
      <w:r>
        <w:rPr>
          <w:rFonts w:ascii="Times New Roman" w:eastAsia="Batang" w:hAnsi="Times New Roman"/>
          <w:bCs/>
          <w:sz w:val="24"/>
          <w:szCs w:val="24"/>
        </w:rPr>
        <w:t>Os documentos necessários à habilitação deverão estar com prazo vigente, à exceção daqueles que, por sua natureza, não contenham validade;</w:t>
      </w:r>
    </w:p>
    <w:p w14:paraId="2818A02F"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10.2.3.3 - </w:t>
      </w:r>
      <w:r>
        <w:rPr>
          <w:rFonts w:ascii="Times New Roman" w:eastAsia="Batang" w:hAnsi="Times New Roman"/>
          <w:bCs/>
          <w:sz w:val="24"/>
          <w:szCs w:val="24"/>
        </w:rPr>
        <w:t>Não serão aceitos “protocolos de entrega” ou “solicitação de documento” em substituição aos documentos requeridos neste edital.</w:t>
      </w:r>
    </w:p>
    <w:p w14:paraId="53C602F7"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10.2.4 - </w:t>
      </w:r>
      <w:r>
        <w:rPr>
          <w:rFonts w:ascii="Times New Roman" w:eastAsia="Batang" w:hAnsi="Times New Roman"/>
          <w:bCs/>
          <w:sz w:val="24"/>
          <w:szCs w:val="24"/>
        </w:rPr>
        <w:t>Na hipótese da proposta arrematante não for aceitável, ou se o licitante não atender às exigências habilitatórias ou se recusar a assinar o contrato, o Pregoeiro examinará a proposta subsequente e assim sucessivamente, na ordem de classificação, até a apuração de uma que atenda ao edital.</w:t>
      </w:r>
    </w:p>
    <w:p w14:paraId="6E6C9A0A"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
          <w:bCs/>
          <w:sz w:val="24"/>
          <w:szCs w:val="24"/>
          <w:u w:val="single"/>
        </w:rPr>
      </w:pPr>
      <w:r>
        <w:rPr>
          <w:rFonts w:ascii="Times New Roman" w:eastAsia="Batang" w:hAnsi="Times New Roman"/>
          <w:b/>
          <w:bCs/>
          <w:sz w:val="24"/>
          <w:szCs w:val="24"/>
          <w:u w:val="single"/>
        </w:rPr>
        <w:t>10.3 - Habilitação Jurídica</w:t>
      </w:r>
    </w:p>
    <w:p w14:paraId="575E6971"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w:t>
      </w:r>
      <w:r>
        <w:rPr>
          <w:rFonts w:ascii="Times New Roman" w:eastAsia="Batang" w:hAnsi="Times New Roman"/>
          <w:bCs/>
          <w:sz w:val="24"/>
          <w:szCs w:val="24"/>
        </w:rPr>
        <w:t xml:space="preserve"> Registro Comercial, no caso de empresa individual;</w:t>
      </w:r>
    </w:p>
    <w:p w14:paraId="5BFFFEF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w:t>
      </w:r>
      <w:r>
        <w:rPr>
          <w:rFonts w:ascii="Times New Roman" w:eastAsia="Batang" w:hAnsi="Times New Roman"/>
          <w:bCs/>
          <w:sz w:val="24"/>
          <w:szCs w:val="24"/>
        </w:rPr>
        <w:t xml:space="preserve"> Ato Constitutivo, Estatuto ou Contrato Social e sua Consolidação ou alterações em vigor;</w:t>
      </w:r>
    </w:p>
    <w:p w14:paraId="06E57804"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III.</w:t>
      </w:r>
      <w:r>
        <w:rPr>
          <w:rFonts w:ascii="Times New Roman" w:eastAsia="Batang" w:hAnsi="Times New Roman"/>
          <w:bCs/>
          <w:sz w:val="24"/>
          <w:szCs w:val="24"/>
        </w:rPr>
        <w:t xml:space="preserve"> Decreto de Autorização, em se tratando de empresa ou sociedade estrangeira em funcionamento no País, e ato de registro ou autorização para funcionamento expedido pelo órgão competente, quando a atividade assim o exigir;</w:t>
      </w:r>
    </w:p>
    <w:p w14:paraId="2C39F7F6"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IV.</w:t>
      </w:r>
      <w:r>
        <w:rPr>
          <w:rFonts w:ascii="Times New Roman" w:eastAsia="Batang" w:hAnsi="Times New Roman"/>
          <w:bCs/>
          <w:sz w:val="24"/>
          <w:szCs w:val="24"/>
        </w:rPr>
        <w:t xml:space="preserve"> Inscrição do Ato Constitutivo, no caso de sociedades civis, acompanhada de documento de eleição da diretoria em exercício;</w:t>
      </w:r>
    </w:p>
    <w:p w14:paraId="46EA6F4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V.</w:t>
      </w:r>
      <w:r>
        <w:rPr>
          <w:rFonts w:ascii="Times New Roman" w:eastAsia="Batang" w:hAnsi="Times New Roman"/>
          <w:bCs/>
          <w:sz w:val="24"/>
          <w:szCs w:val="24"/>
        </w:rPr>
        <w:t xml:space="preserve"> Certificado Da Condição De Microempreendedor Individual – CCMEI, em se tratando se Microempreendedor Individual.</w:t>
      </w:r>
    </w:p>
    <w:p w14:paraId="2ABC11F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
          <w:bCs/>
          <w:sz w:val="24"/>
          <w:szCs w:val="24"/>
          <w:u w:val="single"/>
        </w:rPr>
      </w:pPr>
      <w:r>
        <w:rPr>
          <w:rFonts w:ascii="Times New Roman" w:eastAsia="Batang" w:hAnsi="Times New Roman"/>
          <w:b/>
          <w:bCs/>
          <w:sz w:val="24"/>
          <w:szCs w:val="24"/>
          <w:u w:val="single"/>
        </w:rPr>
        <w:t>10.4 - Regularidade Fiscal e Trabalhista</w:t>
      </w:r>
    </w:p>
    <w:p w14:paraId="0C0A37C1"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w:t>
      </w:r>
      <w:r>
        <w:rPr>
          <w:rFonts w:ascii="Times New Roman" w:eastAsia="Batang" w:hAnsi="Times New Roman"/>
          <w:bCs/>
          <w:sz w:val="24"/>
          <w:szCs w:val="24"/>
        </w:rPr>
        <w:t xml:space="preserve"> Prova de inscrição no Cadastro Nacional de Pessoa Jurídica </w:t>
      </w:r>
      <w:r>
        <w:rPr>
          <w:rFonts w:ascii="Times New Roman" w:eastAsia="Batang" w:hAnsi="Times New Roman"/>
          <w:b/>
          <w:sz w:val="24"/>
          <w:szCs w:val="24"/>
        </w:rPr>
        <w:t>(cartão do CNPJ);</w:t>
      </w:r>
    </w:p>
    <w:p w14:paraId="7F09A6B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w:t>
      </w:r>
      <w:r>
        <w:rPr>
          <w:rFonts w:ascii="Times New Roman" w:eastAsia="Batang" w:hAnsi="Times New Roman"/>
          <w:bCs/>
          <w:sz w:val="24"/>
          <w:szCs w:val="24"/>
        </w:rPr>
        <w:t xml:space="preserve"> Inscrição no cadastro de contribuintes estadual e/ou municipal, se houver, relativo ao domicílio ou sede do licitante, pertinente ao seu ramo de atividade e compatível com o objeto contratual;</w:t>
      </w:r>
    </w:p>
    <w:p w14:paraId="304E0F94" w14:textId="77777777" w:rsidR="005C2B9E" w:rsidRDefault="00000000">
      <w:pPr>
        <w:widowControl w:val="0"/>
        <w:tabs>
          <w:tab w:val="left" w:pos="420"/>
        </w:tabs>
        <w:spacing w:before="120" w:after="0" w:line="240" w:lineRule="auto"/>
        <w:jc w:val="both"/>
        <w:rPr>
          <w:rFonts w:ascii="Times New Roman" w:hAnsi="Times New Roman"/>
          <w:b/>
          <w:sz w:val="24"/>
          <w:szCs w:val="24"/>
        </w:rPr>
      </w:pPr>
      <w:r>
        <w:rPr>
          <w:rFonts w:ascii="Times New Roman" w:eastAsia="Batang" w:hAnsi="Times New Roman"/>
          <w:b/>
          <w:sz w:val="24"/>
          <w:szCs w:val="24"/>
        </w:rPr>
        <w:t>III.</w:t>
      </w:r>
      <w:r>
        <w:rPr>
          <w:rFonts w:ascii="Times New Roman" w:eastAsia="Batang" w:hAnsi="Times New Roman"/>
          <w:bCs/>
          <w:sz w:val="24"/>
          <w:szCs w:val="24"/>
        </w:rPr>
        <w:t xml:space="preserve"> Prova de Regularidade com a </w:t>
      </w:r>
      <w:r>
        <w:rPr>
          <w:rFonts w:ascii="Times New Roman" w:hAnsi="Times New Roman"/>
          <w:sz w:val="24"/>
          <w:szCs w:val="24"/>
        </w:rPr>
        <w:t xml:space="preserve">Fazenda Pública </w:t>
      </w:r>
      <w:r>
        <w:rPr>
          <w:rFonts w:ascii="Times New Roman" w:hAnsi="Times New Roman"/>
          <w:b/>
          <w:sz w:val="24"/>
          <w:szCs w:val="24"/>
        </w:rPr>
        <w:t>Federal,</w:t>
      </w:r>
      <w:r>
        <w:rPr>
          <w:rFonts w:ascii="Times New Roman" w:hAnsi="Times New Roman"/>
          <w:sz w:val="24"/>
          <w:szCs w:val="24"/>
        </w:rPr>
        <w:t xml:space="preserve"> </w:t>
      </w:r>
      <w:r>
        <w:rPr>
          <w:rFonts w:ascii="Times New Roman" w:hAnsi="Times New Roman"/>
          <w:b/>
          <w:sz w:val="24"/>
          <w:szCs w:val="24"/>
        </w:rPr>
        <w:t>(Quitação de tributos e contribuições Federais e Quanto à dívida ativa da União)</w:t>
      </w:r>
      <w:r>
        <w:rPr>
          <w:rFonts w:ascii="Times New Roman" w:hAnsi="Times New Roman"/>
          <w:sz w:val="24"/>
          <w:szCs w:val="24"/>
        </w:rPr>
        <w:t xml:space="preserve">, e junto ao </w:t>
      </w:r>
      <w:r>
        <w:rPr>
          <w:rFonts w:ascii="Times New Roman" w:hAnsi="Times New Roman"/>
          <w:b/>
          <w:sz w:val="24"/>
          <w:szCs w:val="24"/>
        </w:rPr>
        <w:t>INSS</w:t>
      </w:r>
      <w:r>
        <w:rPr>
          <w:rFonts w:ascii="Times New Roman" w:hAnsi="Times New Roman"/>
          <w:sz w:val="24"/>
          <w:szCs w:val="24"/>
        </w:rPr>
        <w:t>, conforme Portaria MF nº 358 de 05/09/2014.</w:t>
      </w:r>
    </w:p>
    <w:p w14:paraId="3DB86AB8"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IV.</w:t>
      </w:r>
      <w:r>
        <w:rPr>
          <w:rFonts w:ascii="Times New Roman" w:eastAsia="Batang" w:hAnsi="Times New Roman"/>
          <w:bCs/>
          <w:sz w:val="24"/>
          <w:szCs w:val="24"/>
        </w:rPr>
        <w:t xml:space="preserve"> Prova de Regularidade com a Fazenda Pública do Estado onde for sediada a empresa;</w:t>
      </w:r>
    </w:p>
    <w:p w14:paraId="66E2F965"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V.</w:t>
      </w:r>
      <w:r>
        <w:rPr>
          <w:rFonts w:ascii="Times New Roman" w:eastAsia="Batang" w:hAnsi="Times New Roman"/>
          <w:bCs/>
          <w:sz w:val="24"/>
          <w:szCs w:val="24"/>
        </w:rPr>
        <w:t xml:space="preserve"> Prova de Regularidade com a Fazenda Pública do Município onde for sediada a empresa;</w:t>
      </w:r>
    </w:p>
    <w:p w14:paraId="2C868EC1"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VI.</w:t>
      </w:r>
      <w:r>
        <w:rPr>
          <w:rFonts w:ascii="Times New Roman" w:eastAsia="Batang" w:hAnsi="Times New Roman"/>
          <w:bCs/>
          <w:sz w:val="24"/>
          <w:szCs w:val="24"/>
        </w:rPr>
        <w:t xml:space="preserve"> Prova de regularidade relativa à Seguridade Social e ao Fundo de Garantia por Tempo de Serviço – FGTS;</w:t>
      </w:r>
    </w:p>
    <w:p w14:paraId="411F4DA4" w14:textId="77777777" w:rsidR="005C2B9E" w:rsidRDefault="00000000">
      <w:pPr>
        <w:widowControl w:val="0"/>
        <w:tabs>
          <w:tab w:val="left" w:pos="-1980"/>
          <w:tab w:val="left" w:pos="360"/>
        </w:tabs>
        <w:spacing w:before="120" w:after="0" w:line="240" w:lineRule="auto"/>
        <w:jc w:val="both"/>
        <w:rPr>
          <w:rFonts w:ascii="Times New Roman" w:hAnsi="Times New Roman"/>
          <w:sz w:val="24"/>
          <w:szCs w:val="24"/>
        </w:rPr>
      </w:pPr>
      <w:r>
        <w:rPr>
          <w:rFonts w:ascii="Times New Roman" w:eastAsia="Batang" w:hAnsi="Times New Roman"/>
          <w:b/>
          <w:sz w:val="24"/>
          <w:szCs w:val="24"/>
        </w:rPr>
        <w:t>VII.</w:t>
      </w:r>
      <w:r>
        <w:rPr>
          <w:rFonts w:ascii="Times New Roman" w:eastAsia="Batang" w:hAnsi="Times New Roman"/>
          <w:bCs/>
          <w:sz w:val="24"/>
          <w:szCs w:val="24"/>
        </w:rPr>
        <w:t xml:space="preserve"> Prova de Inexistência de Débitos inadimplidos perante a Justiça do Trabalho </w:t>
      </w:r>
      <w:r>
        <w:rPr>
          <w:rFonts w:ascii="Times New Roman" w:hAnsi="Times New Roman"/>
          <w:sz w:val="24"/>
          <w:szCs w:val="24"/>
        </w:rPr>
        <w:t>(</w:t>
      </w:r>
      <w:r>
        <w:rPr>
          <w:rFonts w:ascii="Times New Roman" w:hAnsi="Times New Roman"/>
          <w:b/>
          <w:sz w:val="24"/>
          <w:szCs w:val="24"/>
        </w:rPr>
        <w:t>CNDT</w:t>
      </w:r>
      <w:r>
        <w:rPr>
          <w:rFonts w:ascii="Times New Roman" w:hAnsi="Times New Roman"/>
          <w:sz w:val="24"/>
          <w:szCs w:val="24"/>
        </w:rPr>
        <w:t>) de acordo com a Lei n° 12.440 de 7 de julho de 2011.</w:t>
      </w:r>
    </w:p>
    <w:p w14:paraId="68F26A03"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10.4.1 -</w:t>
      </w:r>
      <w:r>
        <w:rPr>
          <w:rFonts w:ascii="Times New Roman" w:eastAsia="Batang" w:hAnsi="Times New Roman"/>
          <w:bCs/>
          <w:sz w:val="24"/>
          <w:szCs w:val="24"/>
        </w:rPr>
        <w:t xml:space="preserve"> Sob pena de inabilitação, todos os documentos apresentados para fins de habilitação deverão conter o nome do licitante e, preferencialmente, com número do CNPJ e endereço respectivo, observando-se que:</w:t>
      </w:r>
    </w:p>
    <w:p w14:paraId="36D9E256"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10.4.1.1 -</w:t>
      </w:r>
      <w:r>
        <w:rPr>
          <w:rFonts w:ascii="Times New Roman" w:eastAsia="Batang" w:hAnsi="Times New Roman"/>
          <w:bCs/>
          <w:sz w:val="24"/>
          <w:szCs w:val="24"/>
        </w:rPr>
        <w:t xml:space="preserve"> Se o licitante for a matriz, todos os documentos deverão estar em nome da matriz;</w:t>
      </w:r>
    </w:p>
    <w:p w14:paraId="5FCCD0A3"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10.4.1.2 -</w:t>
      </w:r>
      <w:r>
        <w:rPr>
          <w:rFonts w:ascii="Times New Roman" w:eastAsia="Batang" w:hAnsi="Times New Roman"/>
          <w:bCs/>
          <w:sz w:val="24"/>
          <w:szCs w:val="24"/>
        </w:rPr>
        <w:t xml:space="preserve"> Se o licitante for a filial, todos os documentos deverão estar em nome da filial;</w:t>
      </w:r>
    </w:p>
    <w:p w14:paraId="4F6CDD6C"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10.4.1.3 -</w:t>
      </w:r>
      <w:r>
        <w:rPr>
          <w:rFonts w:ascii="Times New Roman" w:eastAsia="Batang" w:hAnsi="Times New Roman"/>
          <w:bCs/>
          <w:sz w:val="24"/>
          <w:szCs w:val="24"/>
        </w:rPr>
        <w:t xml:space="preserve"> Se o licitante for matriz e a responsável pela execução da contratação for filial, a documentação deverá ser apresentada com CNPJ da matriz e da filial, simultaneamente;</w:t>
      </w:r>
    </w:p>
    <w:p w14:paraId="1E775AC4"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10.4.1.4 -</w:t>
      </w:r>
      <w:r>
        <w:rPr>
          <w:rFonts w:ascii="Times New Roman" w:eastAsia="Batang" w:hAnsi="Times New Roman"/>
          <w:bCs/>
          <w:sz w:val="24"/>
          <w:szCs w:val="24"/>
        </w:rPr>
        <w:t xml:space="preserve"> Serão dispensados da filial aqueles documentos que, pela própria natureza, comprovadamente, forem emitidos somente em nome da matriz;</w:t>
      </w:r>
    </w:p>
    <w:p w14:paraId="63E1E592"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10.4.1.5 -</w:t>
      </w:r>
      <w:r>
        <w:rPr>
          <w:rFonts w:ascii="Times New Roman" w:eastAsia="Batang" w:hAnsi="Times New Roman"/>
          <w:bCs/>
          <w:sz w:val="24"/>
          <w:szCs w:val="24"/>
        </w:rPr>
        <w:t xml:space="preserve"> Figuram como exceções as certidões cuja abrangência atinge tanto a empresa matriz quanto as filiais (INSS e PGFN/RFB).</w:t>
      </w:r>
    </w:p>
    <w:p w14:paraId="6C31001B"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10.4.2 -</w:t>
      </w:r>
      <w:r>
        <w:rPr>
          <w:rFonts w:ascii="Times New Roman" w:eastAsia="Batang" w:hAnsi="Times New Roman"/>
          <w:bCs/>
          <w:sz w:val="24"/>
          <w:szCs w:val="24"/>
        </w:rPr>
        <w:t xml:space="preserve"> O Pregoeiro e a equipe de apoio durante a análise dos documentos de habilitação procederão à validação das certidões negativas/positivas apresentadas nos sites dos órgãos oficiais (Receita Federal, Procuradoria Geral da Fazenda Nacional, Caixa Econômica Federal, Previdência Social, Secretarias da Fazenda e Tribunal Superior do Trabalho).</w:t>
      </w:r>
    </w:p>
    <w:p w14:paraId="2EDE057E"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10.4.3 -</w:t>
      </w:r>
      <w:r>
        <w:rPr>
          <w:rFonts w:ascii="Times New Roman" w:eastAsia="Batang" w:hAnsi="Times New Roman"/>
          <w:bCs/>
          <w:sz w:val="24"/>
          <w:szCs w:val="24"/>
        </w:rPr>
        <w:t xml:space="preserve"> Os documentos que não possuírem prazo de vigência estabelecido pelo órgão expedidor deverão ser datados dos últimos 180 (cento e oitenta) dias anteriores à data de abertura do Pregão, exceto a prova de cadastro no Cadastro Nacional de Pessoas Jurídicas (CNPJ).</w:t>
      </w:r>
    </w:p>
    <w:p w14:paraId="16858C04" w14:textId="77777777" w:rsidR="005C2B9E" w:rsidRDefault="00000000">
      <w:pPr>
        <w:spacing w:before="120" w:after="0" w:line="240" w:lineRule="auto"/>
        <w:rPr>
          <w:rFonts w:ascii="Times New Roman" w:eastAsia="Batang" w:hAnsi="Times New Roman"/>
          <w:b/>
          <w:sz w:val="24"/>
          <w:szCs w:val="24"/>
          <w:u w:val="single"/>
        </w:rPr>
      </w:pPr>
      <w:r>
        <w:rPr>
          <w:rFonts w:ascii="Times New Roman" w:eastAsia="Batang" w:hAnsi="Times New Roman"/>
          <w:b/>
          <w:sz w:val="24"/>
          <w:szCs w:val="24"/>
        </w:rPr>
        <w:t xml:space="preserve">10.5 - </w:t>
      </w:r>
      <w:r>
        <w:rPr>
          <w:rFonts w:ascii="Times New Roman" w:eastAsia="Batang" w:hAnsi="Times New Roman"/>
          <w:b/>
          <w:sz w:val="24"/>
          <w:szCs w:val="24"/>
          <w:u w:val="single"/>
        </w:rPr>
        <w:t>Qualificação Econômica Financeira</w:t>
      </w:r>
    </w:p>
    <w:p w14:paraId="1C5935BE"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hAnsi="Times New Roman"/>
          <w:b/>
          <w:sz w:val="24"/>
          <w:szCs w:val="24"/>
        </w:rPr>
        <w:t xml:space="preserve">10.5.1 </w:t>
      </w:r>
      <w:r>
        <w:rPr>
          <w:rFonts w:ascii="Times New Roman" w:eastAsia="Batang" w:hAnsi="Times New Roman"/>
          <w:bCs/>
          <w:sz w:val="24"/>
          <w:szCs w:val="24"/>
        </w:rPr>
        <w:t>- CERTIDÃO NEGATIVA DE FALÊNCIA, expedida pelos Cartórios Distribuidores competentes da sede da pessoa jurídica, emitida há, no máximo, 60 (sessenta) dias, quando outro prazo de validade não estiver expresso no documento.</w:t>
      </w:r>
    </w:p>
    <w:p w14:paraId="256F8E05"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10.5.1.1 -</w:t>
      </w:r>
      <w:r>
        <w:rPr>
          <w:rFonts w:ascii="Times New Roman" w:eastAsia="Batang" w:hAnsi="Times New Roman"/>
          <w:bCs/>
          <w:sz w:val="24"/>
          <w:szCs w:val="24"/>
        </w:rPr>
        <w:t xml:space="preserve"> As empresas que apresentarem certidão positiva de RECUPERAÇÃO JUDICIAL poderão participar desta licitação desde que o Juízo em que tramita o procedimento dispense a apresentação da Certidão Negativa de Recuperação Judicial ou certifique que a empresa está em condições de contratar com a Administração Pública;</w:t>
      </w:r>
    </w:p>
    <w:p w14:paraId="43A8210B"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10.5.1.2 -</w:t>
      </w:r>
      <w:r>
        <w:rPr>
          <w:rFonts w:ascii="Times New Roman" w:eastAsia="Batang" w:hAnsi="Times New Roman"/>
          <w:bCs/>
          <w:sz w:val="24"/>
          <w:szCs w:val="24"/>
        </w:rPr>
        <w:t xml:space="preserve"> O fato de o licitante encontrar-se em situação de Recuperação Judicial não o exime de comprovar sua qualificação econômico-financeira, pela apresentação de índices ou comprovação de Capital Social/Patrimônio Líquido mínimo, caso seja exigida neste instrumento.</w:t>
      </w:r>
    </w:p>
    <w:p w14:paraId="24088AEC" w14:textId="77777777" w:rsidR="005C2B9E"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10.6 – </w:t>
      </w:r>
      <w:r>
        <w:rPr>
          <w:rFonts w:ascii="Times New Roman" w:eastAsia="Batang" w:hAnsi="Times New Roman"/>
          <w:b/>
          <w:sz w:val="24"/>
          <w:szCs w:val="24"/>
          <w:u w:val="single"/>
        </w:rPr>
        <w:t>Qualificação Técnica</w:t>
      </w:r>
    </w:p>
    <w:p w14:paraId="76C65719"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10.6.1 </w:t>
      </w:r>
      <w:r>
        <w:rPr>
          <w:rFonts w:ascii="Times New Roman" w:eastAsia="Batang" w:hAnsi="Times New Roman"/>
          <w:bCs/>
          <w:sz w:val="24"/>
          <w:szCs w:val="24"/>
        </w:rPr>
        <w:t xml:space="preserve">– </w:t>
      </w:r>
      <w:r>
        <w:rPr>
          <w:rFonts w:ascii="Times New Roman" w:eastAsia="Batang" w:hAnsi="Times New Roman"/>
          <w:b/>
          <w:sz w:val="24"/>
          <w:szCs w:val="24"/>
        </w:rPr>
        <w:t>Declaração de disponibilidade -</w:t>
      </w:r>
      <w:r>
        <w:rPr>
          <w:rFonts w:ascii="Times New Roman" w:eastAsia="Batang" w:hAnsi="Times New Roman"/>
          <w:bCs/>
          <w:sz w:val="24"/>
          <w:szCs w:val="24"/>
        </w:rPr>
        <w:t xml:space="preserve"> Declaração formal, firmada pelo representante legal da empresa, de que possui condições de atender ao objeto desta licitação com o sistema solicitado neste edital.</w:t>
      </w:r>
    </w:p>
    <w:p w14:paraId="32085258" w14:textId="77777777" w:rsidR="005C2B9E" w:rsidRDefault="00000000">
      <w:pPr>
        <w:spacing w:before="120" w:after="0" w:line="240" w:lineRule="auto"/>
        <w:jc w:val="both"/>
        <w:rPr>
          <w:rFonts w:ascii="Times New Roman" w:hAnsi="Times New Roman"/>
          <w:sz w:val="24"/>
          <w:szCs w:val="24"/>
        </w:rPr>
      </w:pPr>
      <w:r>
        <w:rPr>
          <w:rFonts w:ascii="Times New Roman" w:eastAsia="Batang" w:hAnsi="Times New Roman"/>
          <w:b/>
          <w:sz w:val="24"/>
          <w:szCs w:val="24"/>
        </w:rPr>
        <w:t xml:space="preserve">10.6.2 – Atestado de Capacidade Técnica </w:t>
      </w:r>
      <w:r>
        <w:rPr>
          <w:rFonts w:ascii="Times New Roman" w:eastAsia="Batang" w:hAnsi="Times New Roman"/>
          <w:bCs/>
          <w:sz w:val="24"/>
          <w:szCs w:val="24"/>
        </w:rPr>
        <w:t xml:space="preserve">- em nome da empresa licitante, fornecido(s) por empresa, órgãos ou entidades da Administração Pública, que comprove(m) a aptidão para o fornecimento compatível com as características indicadas no Termo de Referência - ANEXO I, </w:t>
      </w:r>
      <w:r>
        <w:rPr>
          <w:rFonts w:ascii="Times New Roman" w:hAnsi="Times New Roman"/>
          <w:sz w:val="24"/>
          <w:szCs w:val="24"/>
        </w:rPr>
        <w:t>abrangendo todos os softwares licitados.</w:t>
      </w:r>
    </w:p>
    <w:p w14:paraId="044BC1FB"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10.6.2.1 – </w:t>
      </w:r>
      <w:r>
        <w:rPr>
          <w:rFonts w:ascii="Times New Roman" w:eastAsia="Batang" w:hAnsi="Times New Roman"/>
          <w:bCs/>
          <w:sz w:val="24"/>
          <w:szCs w:val="24"/>
        </w:rPr>
        <w:t xml:space="preserve">O(s) atestado(s) deve(m) ser emitido(s) em papel timbrado da empresa contratante, assinado por seu representante legal, discriminando o teor da contratação e os dados da empresa contratada. </w:t>
      </w:r>
    </w:p>
    <w:p w14:paraId="695D5CA6"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10.6.3 – Comprovação que é proprietária dos sistemas ofertados</w:t>
      </w:r>
      <w:r>
        <w:rPr>
          <w:rFonts w:ascii="Times New Roman" w:eastAsia="Batang" w:hAnsi="Times New Roman"/>
          <w:bCs/>
          <w:sz w:val="24"/>
          <w:szCs w:val="24"/>
        </w:rPr>
        <w:t xml:space="preserve">, ou, que não é proprietária, mas possui autorização para licenciamento de uso dos sistemas englobando cessão do direito de uso, instalação, implantação, treinamento, customização, migração, adequação, suporte </w:t>
      </w:r>
      <w:r>
        <w:rPr>
          <w:rFonts w:ascii="Times New Roman" w:eastAsia="Batang" w:hAnsi="Times New Roman"/>
          <w:bCs/>
          <w:sz w:val="24"/>
          <w:szCs w:val="24"/>
        </w:rPr>
        <w:lastRenderedPageBreak/>
        <w:t>técnico, atualização tecnológica e assistência técnica, anexando a cópia do instrumento de contrato, onde esteja explicitado tais condições.</w:t>
      </w:r>
    </w:p>
    <w:p w14:paraId="3DB83B6C"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10.6.4 – Declaração que dispõe de instalações, pessoal especializado, máquinas e equipamentos</w:t>
      </w:r>
      <w:r>
        <w:rPr>
          <w:rFonts w:ascii="Times New Roman" w:eastAsia="Batang" w:hAnsi="Times New Roman"/>
          <w:bCs/>
          <w:sz w:val="24"/>
          <w:szCs w:val="24"/>
        </w:rPr>
        <w:t xml:space="preserve"> para atendimento aos serviços solicitados e que os sistemas ofertados atendem especificações constantes no Termo de Referência, os quais estão disponíveis nas quantidades e qualidades mínimas necessárias ao cumprimento da presente licitação</w:t>
      </w:r>
    </w:p>
    <w:p w14:paraId="5FCC8662" w14:textId="77777777" w:rsidR="005C2B9E"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10.6.5 – </w:t>
      </w:r>
      <w:r>
        <w:rPr>
          <w:rFonts w:ascii="Times New Roman" w:eastAsia="Batang" w:hAnsi="Times New Roman"/>
          <w:sz w:val="24"/>
          <w:szCs w:val="24"/>
        </w:rPr>
        <w:t>O</w:t>
      </w:r>
      <w:r>
        <w:rPr>
          <w:rFonts w:ascii="Times New Roman" w:eastAsia="Batang" w:hAnsi="Times New Roman"/>
          <w:bCs/>
          <w:sz w:val="24"/>
          <w:szCs w:val="24"/>
        </w:rPr>
        <w:t xml:space="preserve"> Instituto de Previdência de São Gabriel da Palha poderá promover diligências para averiguar a veracidade das informações constantes nos documentos apresentados, caso julgue necessário, estando sujeita à inabilitação, a licitante que apresentar documentos em desacordo com as informações obtidas pela Equipe de Pregão, além de incorrer nas sanções previstas na Lei n° 14.133/2021.</w:t>
      </w:r>
    </w:p>
    <w:p w14:paraId="444C49DF"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u w:val="single"/>
        </w:rPr>
      </w:pPr>
      <w:r>
        <w:rPr>
          <w:rFonts w:ascii="Times New Roman" w:eastAsia="Batang" w:hAnsi="Times New Roman"/>
          <w:b/>
          <w:sz w:val="24"/>
          <w:szCs w:val="24"/>
          <w:u w:val="single"/>
        </w:rPr>
        <w:t>10.7 -</w:t>
      </w:r>
      <w:r>
        <w:rPr>
          <w:rFonts w:ascii="Times New Roman" w:eastAsia="Batang" w:hAnsi="Times New Roman"/>
          <w:bCs/>
          <w:sz w:val="24"/>
          <w:szCs w:val="24"/>
          <w:u w:val="single"/>
        </w:rPr>
        <w:t xml:space="preserve"> </w:t>
      </w:r>
      <w:r>
        <w:rPr>
          <w:rFonts w:ascii="Times New Roman" w:eastAsia="Batang" w:hAnsi="Times New Roman"/>
          <w:b/>
          <w:sz w:val="24"/>
          <w:szCs w:val="24"/>
          <w:u w:val="single"/>
        </w:rPr>
        <w:t>Regularidade Fiscal e Trabalhista de Microempresa ou Empresa de Pequeno Porte</w:t>
      </w:r>
    </w:p>
    <w:p w14:paraId="3DBADBE9"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10.7.1 -</w:t>
      </w:r>
      <w:r>
        <w:rPr>
          <w:rFonts w:ascii="Times New Roman" w:eastAsia="Batang" w:hAnsi="Times New Roman"/>
          <w:bCs/>
          <w:sz w:val="24"/>
          <w:szCs w:val="24"/>
        </w:rPr>
        <w:t xml:space="preserve"> O licitante deverá apresentar na etapa de habilitação, todos os documentos exigidos para efeito de comprovação de regularidade fiscal, mesmo que apresentem alguma restrição;</w:t>
      </w:r>
    </w:p>
    <w:p w14:paraId="449342B3"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10.7.2 -</w:t>
      </w:r>
      <w:r>
        <w:rPr>
          <w:rFonts w:ascii="Times New Roman" w:eastAsia="Batang" w:hAnsi="Times New Roman"/>
          <w:bCs/>
          <w:sz w:val="24"/>
          <w:szCs w:val="24"/>
        </w:rPr>
        <w:t xml:space="preserve"> Havendo alguma restrição na comprovação da regularidade fiscal, é assegurado o prazo de 5 (cinco) dias úteis, contados da apresentação dos documentos, para a regularização da documentação, pagamento ou parcelamento do débito, e emissão de eventuais certidões negativas ou positivas com efeito de certidão negativa, nos termos do art. 43, §1º, da Lei Complementar nº 123/2006;</w:t>
      </w:r>
    </w:p>
    <w:p w14:paraId="6072AAB0"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10.7.3 -</w:t>
      </w:r>
      <w:r>
        <w:rPr>
          <w:rFonts w:ascii="Times New Roman" w:eastAsia="Batang" w:hAnsi="Times New Roman"/>
          <w:bCs/>
          <w:sz w:val="24"/>
          <w:szCs w:val="24"/>
        </w:rPr>
        <w:t xml:space="preserve"> O prazo acima poderá, a critério do Instituto de Previdência, ser prorrogado uma única vez, por igual período;</w:t>
      </w:r>
    </w:p>
    <w:p w14:paraId="2A0AFDBA"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10.7.4 -</w:t>
      </w:r>
      <w:r>
        <w:rPr>
          <w:rFonts w:ascii="Times New Roman" w:eastAsia="Batang" w:hAnsi="Times New Roman"/>
          <w:bCs/>
          <w:sz w:val="24"/>
          <w:szCs w:val="24"/>
        </w:rPr>
        <w:t xml:space="preserve"> A formalização da contratação fica condicionada à regularização da documentação comprobatória de regularidade fiscal, sob pena de decadência do direito à contratação, sem prejuízo da aplicação das sanções previstas na Lei nº 14.133/2021, sendo facultado ao Instituto de Previdência convocar os licitantes remanescentes e com elas contratar, observada a ordem de classificação, ou revogar a licitação.</w:t>
      </w:r>
    </w:p>
    <w:p w14:paraId="02B48F9B"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u w:val="single"/>
        </w:rPr>
      </w:pPr>
      <w:r>
        <w:rPr>
          <w:rFonts w:ascii="Times New Roman" w:eastAsia="Batang" w:hAnsi="Times New Roman"/>
          <w:b/>
          <w:sz w:val="24"/>
          <w:szCs w:val="24"/>
          <w:u w:val="single"/>
        </w:rPr>
        <w:t>10.8 - Comprovação da Condição de Microempresa ou Empresa de Pequeno Porte</w:t>
      </w:r>
    </w:p>
    <w:p w14:paraId="63F5E846"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10.8.1 -</w:t>
      </w:r>
      <w:r>
        <w:rPr>
          <w:rFonts w:ascii="Times New Roman" w:eastAsia="Batang" w:hAnsi="Times New Roman"/>
          <w:bCs/>
          <w:sz w:val="24"/>
          <w:szCs w:val="24"/>
        </w:rPr>
        <w:t xml:space="preserve"> O licitante enquadrado como Microempresa ou Empresa de Pequeno Porte que desejar obter os tratamentos previstos na Lei Complementar nº 123/2006 deverá apresentar a CERTIDÃO EXPEDIDA PELA JUNTA COMERCIAL, seguindo a previsão da Instrução Normativa DREI nº 81, de 10 de junho de 2020 ou norma que venha a substituí-la.</w:t>
      </w:r>
    </w:p>
    <w:p w14:paraId="6BDCC3C2"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10.8.2 -</w:t>
      </w:r>
      <w:r>
        <w:rPr>
          <w:rFonts w:ascii="Times New Roman" w:eastAsia="Batang" w:hAnsi="Times New Roman"/>
          <w:bCs/>
          <w:sz w:val="24"/>
          <w:szCs w:val="24"/>
        </w:rPr>
        <w:t xml:space="preserve"> Caso o licitante enquadrado como Microempresa ou Empresa de Pequeno Porte seja optante pelo Sistema Simples Nacional de Tributação, regido pela Lei Complementar nº 123/2006, deverá apresentar também o comprovante de opção obtido no site do Ministério da Fazenda (http://www8.receita.fazenda.gov.br/SimplesNacional).</w:t>
      </w:r>
    </w:p>
    <w:p w14:paraId="0F4EE3C3" w14:textId="77777777" w:rsidR="005C2B9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10.8.3 -</w:t>
      </w:r>
      <w:r>
        <w:rPr>
          <w:rFonts w:ascii="Times New Roman" w:eastAsia="Batang" w:hAnsi="Times New Roman"/>
          <w:bCs/>
          <w:sz w:val="24"/>
          <w:szCs w:val="24"/>
        </w:rPr>
        <w:t xml:space="preserve"> O licitante que apresentar declaração falsa responderá por seus atos na esfera civil, penal e administrativa.</w:t>
      </w:r>
      <w:bookmarkEnd w:id="3"/>
    </w:p>
    <w:p w14:paraId="60847419" w14:textId="77777777" w:rsidR="005C2B9E" w:rsidRDefault="005C2B9E">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p>
    <w:p w14:paraId="5466CF21" w14:textId="77777777" w:rsidR="005C2B9E" w:rsidRDefault="005C2B9E">
      <w:pPr>
        <w:spacing w:before="120" w:after="0" w:line="240" w:lineRule="auto"/>
        <w:jc w:val="both"/>
        <w:rPr>
          <w:rFonts w:ascii="Times New Roman" w:eastAsia="Batang" w:hAnsi="Times New Roman"/>
          <w:b/>
          <w:sz w:val="24"/>
          <w:szCs w:val="24"/>
        </w:rPr>
      </w:pPr>
    </w:p>
    <w:p w14:paraId="0724FBFC" w14:textId="77777777" w:rsidR="005C2B9E" w:rsidRDefault="00000000">
      <w:pPr>
        <w:pBdr>
          <w:bottom w:val="double" w:sz="4" w:space="1" w:color="000000"/>
        </w:pBdr>
        <w:tabs>
          <w:tab w:val="left" w:pos="0"/>
          <w:tab w:val="left" w:pos="1182"/>
        </w:tabs>
        <w:spacing w:before="120" w:after="0" w:line="240" w:lineRule="auto"/>
        <w:rPr>
          <w:rFonts w:ascii="Times New Roman" w:eastAsia="Batang" w:hAnsi="Times New Roman"/>
          <w:b/>
          <w:sz w:val="24"/>
          <w:szCs w:val="24"/>
        </w:rPr>
      </w:pPr>
      <w:r>
        <w:rPr>
          <w:rFonts w:ascii="Times New Roman" w:eastAsia="Batang" w:hAnsi="Times New Roman"/>
          <w:b/>
          <w:sz w:val="24"/>
          <w:szCs w:val="24"/>
        </w:rPr>
        <w:lastRenderedPageBreak/>
        <w:t>XI – DA ACEITABILIDADE DA PROPOSTA</w:t>
      </w:r>
    </w:p>
    <w:p w14:paraId="30E3A19A"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11.1</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O Pregoeiro convocará o vencedor do certame e fixará prazo para enviar, pelo sistema, a PROPOSTA ATUALIZADA, em conformidade com o último lance ofertado ou valor negociado.</w:t>
      </w:r>
    </w:p>
    <w:p w14:paraId="27BB6D7C"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11.1.1 -</w:t>
      </w:r>
      <w:r>
        <w:rPr>
          <w:rFonts w:ascii="Times New Roman" w:eastAsia="Batang" w:hAnsi="Times New Roman"/>
          <w:bCs/>
          <w:sz w:val="24"/>
          <w:szCs w:val="24"/>
        </w:rPr>
        <w:t xml:space="preserve"> Quando por impossibilidade de carregamento do arquivo da proposta atualizada no Sistema de Compras do Governo Federal (www.gov.br/compras), será admitido o envio para o e-mail </w:t>
      </w:r>
      <w:hyperlink r:id="rId15">
        <w:r>
          <w:rPr>
            <w:rStyle w:val="Hyperlink"/>
            <w:rFonts w:ascii="Times New Roman" w:eastAsia="Batang" w:hAnsi="Times New Roman"/>
            <w:bCs/>
            <w:sz w:val="24"/>
            <w:szCs w:val="24"/>
          </w:rPr>
          <w:t>licitacao@saogabriel.es.gov.br</w:t>
        </w:r>
      </w:hyperlink>
      <w:r>
        <w:rPr>
          <w:rFonts w:ascii="Times New Roman" w:eastAsia="Batang" w:hAnsi="Times New Roman"/>
          <w:bCs/>
          <w:sz w:val="24"/>
          <w:szCs w:val="24"/>
        </w:rPr>
        <w:t>;</w:t>
      </w:r>
    </w:p>
    <w:p w14:paraId="5C63EE09"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11.1.1.1 -</w:t>
      </w:r>
      <w:r>
        <w:rPr>
          <w:rFonts w:ascii="Times New Roman" w:eastAsia="Batang" w:hAnsi="Times New Roman"/>
          <w:bCs/>
          <w:sz w:val="24"/>
          <w:szCs w:val="24"/>
        </w:rPr>
        <w:t xml:space="preserve"> No caso de envio por e-mail, será considerada a data e hora de efetivo recebimento na caixa postal da equipe de pregão.</w:t>
      </w:r>
    </w:p>
    <w:p w14:paraId="00AFADC2"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11.1.2 -</w:t>
      </w:r>
      <w:r>
        <w:rPr>
          <w:rFonts w:ascii="Times New Roman" w:eastAsia="Batang" w:hAnsi="Times New Roman"/>
          <w:bCs/>
          <w:sz w:val="24"/>
          <w:szCs w:val="24"/>
        </w:rPr>
        <w:t xml:space="preserve"> A prorrogação do prazo poderá ocorrer por solicitação do licitante, mediante justificativa aceita pelo Pregoeiro, bem como de ofício quando constatado que o prazo estabelecido não é suficiente para o envio dos documentos exigidos;</w:t>
      </w:r>
    </w:p>
    <w:p w14:paraId="6EA9A0D3"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11.2 -</w:t>
      </w:r>
      <w:r>
        <w:rPr>
          <w:rFonts w:ascii="Times New Roman" w:eastAsia="Batang" w:hAnsi="Times New Roman"/>
          <w:bCs/>
          <w:sz w:val="24"/>
          <w:szCs w:val="24"/>
        </w:rPr>
        <w:t xml:space="preserve"> A Proposta Atualizada deverá ser entregue no sistema, sendo necessário o upload de seu arquivo, com a documentação complementar, quando exigida no edital, em moeda corrente do País, nas condições e especificações estabelecidas neste edital, seus anexos e sistema provedor.</w:t>
      </w:r>
    </w:p>
    <w:p w14:paraId="7C8BA514"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w:t>
      </w:r>
      <w:r>
        <w:rPr>
          <w:rFonts w:ascii="Times New Roman" w:eastAsia="Batang" w:hAnsi="Times New Roman"/>
          <w:bCs/>
          <w:sz w:val="24"/>
          <w:szCs w:val="24"/>
        </w:rPr>
        <w:t xml:space="preserve"> - Deverá constar na Proposta Atualizada:</w:t>
      </w:r>
    </w:p>
    <w:p w14:paraId="1448E156"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11.2.1.1 -</w:t>
      </w:r>
      <w:r>
        <w:rPr>
          <w:rFonts w:ascii="Times New Roman" w:eastAsia="Batang" w:hAnsi="Times New Roman"/>
          <w:bCs/>
          <w:sz w:val="24"/>
          <w:szCs w:val="24"/>
        </w:rPr>
        <w:t xml:space="preserve"> Indicação dos valores unitários dos itens e totais por lote, no modelo apresentado em campo próprio do sistema provedor;</w:t>
      </w:r>
    </w:p>
    <w:p w14:paraId="4AF95777"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11.2.1.2 -</w:t>
      </w:r>
      <w:r>
        <w:rPr>
          <w:rFonts w:ascii="Times New Roman" w:eastAsia="Batang" w:hAnsi="Times New Roman"/>
          <w:bCs/>
          <w:sz w:val="24"/>
          <w:szCs w:val="24"/>
        </w:rPr>
        <w:t xml:space="preserve"> Prazo de Validade da Proposta: não deverá ser inferior a 60 (sessenta) dias corridos, a contar da data de sua apresentação. Na ausência de indicação expressa do prazo de validade, considerar-se-á tacitamente indicado o prazo de 60 (sessenta) dias;</w:t>
      </w:r>
    </w:p>
    <w:p w14:paraId="5A9D450C"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11.2.1.3 -</w:t>
      </w:r>
      <w:r>
        <w:rPr>
          <w:rFonts w:ascii="Times New Roman" w:eastAsia="Batang" w:hAnsi="Times New Roman"/>
          <w:bCs/>
          <w:sz w:val="24"/>
          <w:szCs w:val="24"/>
        </w:rPr>
        <w:t xml:space="preserve"> Quando exigido, a indicação da MARCA, que deverá ser idêntica à apresentada inicialmente, quando do cadastramento da proposta comercial preliminar, no sistema provedor;</w:t>
      </w:r>
    </w:p>
    <w:p w14:paraId="5E6ECEE0"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11.2.1.4 -</w:t>
      </w:r>
      <w:r>
        <w:rPr>
          <w:rFonts w:ascii="Times New Roman" w:eastAsia="Batang" w:hAnsi="Times New Roman"/>
          <w:bCs/>
          <w:sz w:val="24"/>
          <w:szCs w:val="24"/>
        </w:rPr>
        <w:t xml:space="preserve"> Quando exigido, a indicação da modalidade de Garantia Contratual, conforme Art. 96, §1º da Lei 14.133/2021.</w:t>
      </w:r>
    </w:p>
    <w:p w14:paraId="5C034855"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11.2.2 -</w:t>
      </w:r>
      <w:r>
        <w:rPr>
          <w:rFonts w:ascii="Times New Roman" w:eastAsia="Batang" w:hAnsi="Times New Roman"/>
          <w:bCs/>
          <w:sz w:val="24"/>
          <w:szCs w:val="24"/>
        </w:rPr>
        <w:t xml:space="preserve"> O valor deverá ser apresentado em moeda nacional utilizando-se 4 (quatro) casas decimais para o valor unitário, desprezando-se as demais, incluindo todos os impostos, seguros, transportes, embalagens, contribuições sociais, bem como quaisquer outros custos relacionados com a entrega do produto, com base nas especificações do objeto.</w:t>
      </w:r>
    </w:p>
    <w:p w14:paraId="04FAC05F"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11.2.3 -</w:t>
      </w:r>
      <w:r>
        <w:rPr>
          <w:rFonts w:ascii="Times New Roman" w:eastAsia="Batang" w:hAnsi="Times New Roman"/>
          <w:bCs/>
          <w:sz w:val="24"/>
          <w:szCs w:val="24"/>
        </w:rPr>
        <w:t xml:space="preserve"> Deverão ser cotados todos os itens, em suas quantidades totais.</w:t>
      </w:r>
    </w:p>
    <w:p w14:paraId="22B2A7AC"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11.2.4 -</w:t>
      </w:r>
      <w:r>
        <w:rPr>
          <w:rFonts w:ascii="Times New Roman" w:eastAsia="Batang" w:hAnsi="Times New Roman"/>
          <w:bCs/>
          <w:sz w:val="24"/>
          <w:szCs w:val="24"/>
        </w:rPr>
        <w:t xml:space="preserve"> A proposta deverá conter oferta firme e precisa, limitada, rigorosamente, ao objeto deste Edital, sem conter alternativas de preços ou qualquer outra condição que induza o julgamento a ter mais de um resultado, sob pena de desclassificação.</w:t>
      </w:r>
    </w:p>
    <w:p w14:paraId="3AD73CF0" w14:textId="77777777" w:rsidR="005C2B9E" w:rsidRDefault="00000000">
      <w:pPr>
        <w:spacing w:before="120" w:after="0" w:line="240" w:lineRule="auto"/>
        <w:jc w:val="both"/>
      </w:pPr>
      <w:r>
        <w:rPr>
          <w:rFonts w:ascii="Times New Roman" w:eastAsia="Batang" w:hAnsi="Times New Roman"/>
          <w:b/>
          <w:sz w:val="24"/>
          <w:szCs w:val="24"/>
        </w:rPr>
        <w:t>11.2.5 -</w:t>
      </w:r>
      <w:r>
        <w:rPr>
          <w:rFonts w:ascii="Times New Roman" w:eastAsia="Batang" w:hAnsi="Times New Roman"/>
          <w:bCs/>
          <w:sz w:val="24"/>
          <w:szCs w:val="24"/>
        </w:rPr>
        <w:t xml:space="preserve"> Não serão adjudicadas as propostas de preços com valores superiores ao estimado para o VALOR GLOBAL e para CADA ITEM.</w:t>
      </w:r>
    </w:p>
    <w:p w14:paraId="6E4999A7"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11.2.6 -</w:t>
      </w:r>
      <w:r>
        <w:rPr>
          <w:rFonts w:ascii="Times New Roman" w:eastAsia="Batang" w:hAnsi="Times New Roman"/>
          <w:bCs/>
          <w:sz w:val="24"/>
          <w:szCs w:val="24"/>
        </w:rPr>
        <w:t xml:space="preserve"> Quaisquer tributos, custos e despesas diretos ou indiretos omitidos da proposta ou incorretamente cotados, serão considerados como inclusos nos preços, não sendo considerados pleitos de acréscimos, a esse ou a qualquer título, devendo o objeto ser entregue ao Órgão sem ônus adicionais.</w:t>
      </w:r>
    </w:p>
    <w:p w14:paraId="18988D0A"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11.3 -</w:t>
      </w:r>
      <w:r>
        <w:rPr>
          <w:rFonts w:ascii="Times New Roman" w:eastAsia="Batang" w:hAnsi="Times New Roman"/>
          <w:bCs/>
          <w:sz w:val="24"/>
          <w:szCs w:val="24"/>
        </w:rPr>
        <w:t xml:space="preserve"> O Pregoeiro examinará a proposta melhor classificada quanto a compatibilidade do(s) preço(s) ofertado(s) em relação ao(s) preço(s) estimado(s) na pesquisa de mercado, podendo solicitar manifestação do setor demandante acerca de sua compatibilidade técnica com as especificações contidas no Termo de Referência.</w:t>
      </w:r>
    </w:p>
    <w:p w14:paraId="2F67655E"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11.4 -</w:t>
      </w:r>
      <w:r>
        <w:rPr>
          <w:rFonts w:ascii="Times New Roman" w:eastAsia="Batang" w:hAnsi="Times New Roman"/>
          <w:bCs/>
          <w:sz w:val="24"/>
          <w:szCs w:val="24"/>
        </w:rPr>
        <w:t xml:space="preserve"> O Pregoeiro poderá solicitar parecer técnico de servidores do SGP-Prev para orientar sua decisão.</w:t>
      </w:r>
    </w:p>
    <w:p w14:paraId="2CA88B7C"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11.5 -</w:t>
      </w:r>
      <w:r>
        <w:rPr>
          <w:rFonts w:ascii="Times New Roman" w:eastAsia="Batang" w:hAnsi="Times New Roman"/>
          <w:bCs/>
          <w:sz w:val="24"/>
          <w:szCs w:val="24"/>
        </w:rPr>
        <w:t xml:space="preserve"> Não será admitida proposta que apresente valores simbólicos, irrisórios ou incompatíveis com os praticados no mercado, exceto quando se referirem a recursos materiais ou técnicos do licitante, para os quais ele renuncie à parcela ou à totalidade da remuneração.</w:t>
      </w:r>
    </w:p>
    <w:p w14:paraId="58FBE0B3"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11.6 -</w:t>
      </w:r>
      <w:r>
        <w:rPr>
          <w:rFonts w:ascii="Times New Roman" w:eastAsia="Batang" w:hAnsi="Times New Roman"/>
          <w:bCs/>
          <w:sz w:val="24"/>
          <w:szCs w:val="24"/>
        </w:rPr>
        <w:t xml:space="preserve"> Quando necessário, o Pregoeiro poderá solicitar, no prazo máximo de 5 (cinco) dias úteis, para que o licitante demonstre a exequibilidade da sua proposta, por meio de documentos. Este prazo poderá ser prorrogado uma única vez, por igual período, </w:t>
      </w:r>
      <w:r>
        <w:rPr>
          <w:rFonts w:ascii="Times New Roman" w:eastAsia="Batang" w:hAnsi="Times New Roman"/>
          <w:sz w:val="24"/>
          <w:szCs w:val="24"/>
        </w:rPr>
        <w:t>mediante solicitação escrita e justificada do licitante, formulada antes de findo o prazo, e formalmente aceita pelo Pregoeiro.</w:t>
      </w:r>
    </w:p>
    <w:p w14:paraId="51E805E6"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11.7 -</w:t>
      </w:r>
      <w:r>
        <w:rPr>
          <w:rFonts w:ascii="Times New Roman" w:eastAsia="Batang" w:hAnsi="Times New Roman"/>
          <w:bCs/>
          <w:sz w:val="24"/>
          <w:szCs w:val="24"/>
        </w:rPr>
        <w:t xml:space="preserve"> O Pregoeiro poderá fixar prazo para o reenvio do anexo contendo a proposta detalhada quando o preço ofertado for aceitável e houver necessidade de ajustes para adequar a propostas aos requisitos exigidos neste edital e seus anexos.</w:t>
      </w:r>
    </w:p>
    <w:p w14:paraId="4D371E59"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11.8 -</w:t>
      </w:r>
      <w:r>
        <w:rPr>
          <w:rFonts w:ascii="Times New Roman" w:eastAsia="Batang" w:hAnsi="Times New Roman"/>
          <w:bCs/>
          <w:sz w:val="24"/>
          <w:szCs w:val="24"/>
        </w:rPr>
        <w:t xml:space="preserve"> Em caráter de diligência, os arquivos remetidos poderão ser solicitados a qualquer momento em original ou por cópia autenticada. Para tanto, os documentos deverão ser encaminhados ao Departamento de Licitações da Prefeitura Municipal no prazo estabelecido pelo Pregoeiro.</w:t>
      </w:r>
    </w:p>
    <w:p w14:paraId="56941559"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11.9 -</w:t>
      </w:r>
      <w:r>
        <w:rPr>
          <w:rFonts w:ascii="Times New Roman" w:eastAsia="Batang" w:hAnsi="Times New Roman"/>
          <w:bCs/>
          <w:sz w:val="24"/>
          <w:szCs w:val="24"/>
        </w:rPr>
        <w:t xml:space="preserve"> Será desclassificado o licitante que abandonar o certame deixando de enviar a documentação acima indicada, o que pode ensejar a instrução de processo para aplicação de sanções previstas neste edital.</w:t>
      </w:r>
    </w:p>
    <w:p w14:paraId="0A03C915" w14:textId="77777777" w:rsidR="005C2B9E" w:rsidRDefault="005C2B9E">
      <w:pPr>
        <w:pBdr>
          <w:bottom w:val="double" w:sz="4" w:space="1" w:color="000000"/>
        </w:pBdr>
        <w:tabs>
          <w:tab w:val="left" w:pos="0"/>
          <w:tab w:val="left" w:pos="1182"/>
        </w:tabs>
        <w:spacing w:before="120" w:after="0" w:line="240" w:lineRule="auto"/>
        <w:rPr>
          <w:rFonts w:ascii="Times New Roman" w:eastAsia="Batang" w:hAnsi="Times New Roman"/>
          <w:b/>
          <w:sz w:val="24"/>
          <w:szCs w:val="24"/>
        </w:rPr>
      </w:pPr>
    </w:p>
    <w:p w14:paraId="4E45E49F" w14:textId="77777777" w:rsidR="005C2B9E" w:rsidRDefault="00000000">
      <w:pPr>
        <w:pBdr>
          <w:bottom w:val="double" w:sz="4" w:space="1" w:color="000000"/>
        </w:pBdr>
        <w:tabs>
          <w:tab w:val="left" w:pos="0"/>
          <w:tab w:val="left" w:pos="1182"/>
        </w:tabs>
        <w:spacing w:before="120" w:after="0" w:line="240" w:lineRule="auto"/>
        <w:rPr>
          <w:rFonts w:ascii="Times New Roman" w:eastAsia="Batang" w:hAnsi="Times New Roman"/>
          <w:b/>
          <w:sz w:val="24"/>
          <w:szCs w:val="24"/>
        </w:rPr>
      </w:pPr>
      <w:r>
        <w:rPr>
          <w:rFonts w:ascii="Times New Roman" w:eastAsia="Batang" w:hAnsi="Times New Roman"/>
          <w:b/>
          <w:sz w:val="24"/>
          <w:szCs w:val="24"/>
        </w:rPr>
        <w:t xml:space="preserve">XII – </w:t>
      </w:r>
      <w:r>
        <w:rPr>
          <w:rFonts w:ascii="Times New Roman" w:eastAsia="Batang" w:hAnsi="Times New Roman"/>
          <w:b/>
          <w:bCs/>
          <w:sz w:val="24"/>
          <w:szCs w:val="24"/>
        </w:rPr>
        <w:t>DO SANEAMENTO DA PROPOSTA E DOS DOCUMENTOS DE HABILITAÇÃO</w:t>
      </w:r>
    </w:p>
    <w:p w14:paraId="6A60983A"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12.1 –</w:t>
      </w:r>
      <w:r>
        <w:rPr>
          <w:rFonts w:ascii="Times New Roman" w:eastAsia="Batang" w:hAnsi="Times New Roman"/>
          <w:sz w:val="24"/>
          <w:szCs w:val="24"/>
        </w:rPr>
        <w:t xml:space="preserve"> 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16BCDB90"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12.1.1 -</w:t>
      </w:r>
      <w:r>
        <w:rPr>
          <w:rFonts w:ascii="Times New Roman" w:eastAsia="Batang" w:hAnsi="Times New Roman"/>
          <w:sz w:val="24"/>
          <w:szCs w:val="24"/>
        </w:rPr>
        <w:t xml:space="preserve"> O desatendimento de exigências formais não essenciais não importará no afastamento do proponente, desde que seja possível a aferição da sua qualificação e a exata compreensão da sua proposta.</w:t>
      </w:r>
    </w:p>
    <w:p w14:paraId="663FEBC4"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12.2 -</w:t>
      </w:r>
      <w:r>
        <w:rPr>
          <w:rFonts w:ascii="Times New Roman" w:eastAsia="Batang" w:hAnsi="Times New Roman"/>
          <w:sz w:val="24"/>
          <w:szCs w:val="24"/>
        </w:rPr>
        <w:t xml:space="preserve"> Na hipótese de necessidade de envio de documentos complementares após o julgamento da proposta, os documentos deverão ser apresentados em formato digital, via sistema, no prazo a ser estabelecido, após solicitação do Pregoeiro no sistema eletrônico.</w:t>
      </w:r>
    </w:p>
    <w:p w14:paraId="3D44B0D8"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12.2.1 -</w:t>
      </w:r>
      <w:r>
        <w:rPr>
          <w:rFonts w:ascii="Times New Roman" w:eastAsia="Batang" w:hAnsi="Times New Roman"/>
          <w:sz w:val="24"/>
          <w:szCs w:val="24"/>
        </w:rPr>
        <w:t xml:space="preserve"> O prazo estabelecido no item anterior poderá ser prorrogado pelo Pregoeiro por solicitação escrita e justificada do licitante, formulada antes de findo o prazo, e formalmente aceita pelo Pregoeiro.</w:t>
      </w:r>
    </w:p>
    <w:p w14:paraId="0F4124DD" w14:textId="77777777" w:rsidR="005C2B9E" w:rsidRDefault="005C2B9E">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p>
    <w:p w14:paraId="512FF652"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r>
        <w:rPr>
          <w:rFonts w:ascii="Times New Roman" w:eastAsia="Batang" w:hAnsi="Times New Roman"/>
          <w:b/>
          <w:sz w:val="24"/>
          <w:szCs w:val="24"/>
        </w:rPr>
        <w:lastRenderedPageBreak/>
        <w:t>XIII – DOS RECURSOS</w:t>
      </w:r>
    </w:p>
    <w:p w14:paraId="38097EEE"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sz w:val="24"/>
          <w:szCs w:val="24"/>
        </w:rPr>
      </w:pPr>
      <w:r>
        <w:rPr>
          <w:rFonts w:ascii="Times New Roman" w:eastAsia="Batang" w:hAnsi="Times New Roman"/>
          <w:b/>
          <w:sz w:val="24"/>
          <w:szCs w:val="24"/>
        </w:rPr>
        <w:t>13.1 -</w:t>
      </w:r>
      <w:r>
        <w:rPr>
          <w:rFonts w:ascii="Times New Roman" w:eastAsia="Batang" w:hAnsi="Times New Roman"/>
          <w:sz w:val="24"/>
          <w:szCs w:val="24"/>
        </w:rPr>
        <w:t xml:space="preserve"> A intenção de interpor recurso poderá ser promovida pelos licitantes, de forma IMEDIATA, via sistema provedor, APÓS O TÉRMINO DO JULGAMENTO DAS PROPOSTAS E DO ATO DE HABILITAÇÃO OU INABILITAÇÃO. O sistema aceitará a intenção o licitante, inicialmente, nos 10 (dez) minutos imediatamente posteriores ao julgamento das propostas e do ato de habilitação ou inabilitação, sob pena de preclusão, ficando a Autoridade Competente autorizada a adjudicar o objeto ao licitante declarada vencedor.</w:t>
      </w:r>
    </w:p>
    <w:p w14:paraId="5F5753D0"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sz w:val="24"/>
          <w:szCs w:val="24"/>
        </w:rPr>
      </w:pPr>
      <w:r>
        <w:rPr>
          <w:rFonts w:ascii="Times New Roman" w:eastAsia="Batang" w:hAnsi="Times New Roman"/>
          <w:b/>
          <w:sz w:val="24"/>
          <w:szCs w:val="24"/>
        </w:rPr>
        <w:t>13.2 -</w:t>
      </w:r>
      <w:r>
        <w:rPr>
          <w:rFonts w:ascii="Times New Roman" w:eastAsia="Batang" w:hAnsi="Times New Roman"/>
          <w:sz w:val="24"/>
          <w:szCs w:val="24"/>
        </w:rPr>
        <w:t xml:space="preserve"> Não serão conhecidas as manifestações de recurso efetuadas por meio diverso do aqui estabelecido (chat de mensagens, e-mail, carta, etc.).</w:t>
      </w:r>
    </w:p>
    <w:p w14:paraId="34374D39"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
          <w:sz w:val="24"/>
          <w:szCs w:val="24"/>
        </w:rPr>
      </w:pPr>
      <w:r>
        <w:rPr>
          <w:rFonts w:ascii="Times New Roman" w:eastAsia="Batang" w:hAnsi="Times New Roman"/>
          <w:b/>
          <w:sz w:val="24"/>
          <w:szCs w:val="24"/>
        </w:rPr>
        <w:t>13.3 -</w:t>
      </w:r>
      <w:r>
        <w:rPr>
          <w:rFonts w:ascii="Times New Roman" w:eastAsia="Batang" w:hAnsi="Times New Roman"/>
          <w:sz w:val="24"/>
          <w:szCs w:val="24"/>
        </w:rPr>
        <w:t xml:space="preserve"> As razões do recurso deverão ser apresentadas em momento único, EXCLUSIVAMENTE POR MEIO DO SISTEMA PROVEDOR, no prazo de 03 (três) dias úteis, contados da data de intimação pessoal, realizada pelo sistema provedor.</w:t>
      </w:r>
    </w:p>
    <w:p w14:paraId="489A4472"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13.4 -</w:t>
      </w:r>
      <w:r>
        <w:rPr>
          <w:rFonts w:ascii="Times New Roman" w:eastAsia="Batang" w:hAnsi="Times New Roman"/>
          <w:sz w:val="24"/>
          <w:szCs w:val="24"/>
        </w:rPr>
        <w:t xml:space="preserve"> Os demais licitantes ficarão intimados para, se desejarem, apresentar contrarrazões, EM IGUAL NÚMERO DE DIAS E NA MESMA FORMA, cujo prazo correrá a partir da data de intimação pessoal ou de divulgação da interposição do recurso.</w:t>
      </w:r>
    </w:p>
    <w:p w14:paraId="6140A0DB"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13.5 -</w:t>
      </w:r>
      <w:r>
        <w:rPr>
          <w:rFonts w:ascii="Times New Roman" w:eastAsia="Batang" w:hAnsi="Times New Roman"/>
          <w:sz w:val="24"/>
          <w:szCs w:val="24"/>
        </w:rPr>
        <w:t xml:space="preserve"> Será assegurado ao licitante vistas dos elementos indispensáveis à defesa de seus interesses.</w:t>
      </w:r>
    </w:p>
    <w:p w14:paraId="0767CA6D"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13.6 -</w:t>
      </w:r>
      <w:r>
        <w:rPr>
          <w:rFonts w:ascii="Times New Roman" w:eastAsia="Batang" w:hAnsi="Times New Roman"/>
          <w:sz w:val="24"/>
          <w:szCs w:val="24"/>
        </w:rPr>
        <w:t xml:space="preserve"> O acolhimento de recurso importará na invalidação apenas dos atos insuscetíveis de </w:t>
      </w:r>
      <w:r>
        <w:rPr>
          <w:rFonts w:ascii="Times New Roman" w:eastAsia="Batang" w:hAnsi="Times New Roman"/>
          <w:bCs/>
          <w:sz w:val="24"/>
          <w:szCs w:val="24"/>
        </w:rPr>
        <w:t>aproveitamento.</w:t>
      </w:r>
    </w:p>
    <w:p w14:paraId="33CD7B69"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13.7 - </w:t>
      </w:r>
      <w:r>
        <w:rPr>
          <w:rFonts w:ascii="Times New Roman" w:eastAsia="Batang" w:hAnsi="Times New Roman"/>
          <w:bCs/>
          <w:sz w:val="24"/>
          <w:szCs w:val="24"/>
        </w:rPr>
        <w:t>Não serão conhecidos os recursos apresentados fora do prazo legal, subscritos por representante não habilitado legalmente ou não identificado no processo para responder pelo licitante, os meramente protelatórios, os que não guardem pertinência com o objeto licitado ou aqueles redigidos sem clareza, objetividade e de fácil compreensão.</w:t>
      </w:r>
    </w:p>
    <w:p w14:paraId="6D042D61" w14:textId="77777777" w:rsidR="005C2B9E"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13.8 - </w:t>
      </w:r>
      <w:r>
        <w:rPr>
          <w:rFonts w:ascii="Times New Roman" w:eastAsia="Batang" w:hAnsi="Times New Roman"/>
          <w:bCs/>
          <w:sz w:val="24"/>
          <w:szCs w:val="24"/>
        </w:rPr>
        <w:t>Os recursos terão efeito suspensivo do ato ou da decisão recorrida até que sobrevenha decisão final da Autoridade Competente.</w:t>
      </w:r>
    </w:p>
    <w:p w14:paraId="544DD1F5" w14:textId="77777777" w:rsidR="005C2B9E" w:rsidRDefault="005C2B9E">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p>
    <w:p w14:paraId="487C7740"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bookmarkStart w:id="4" w:name="_Hlk174630653"/>
      <w:r>
        <w:rPr>
          <w:rFonts w:ascii="Times New Roman" w:eastAsia="Batang" w:hAnsi="Times New Roman"/>
          <w:b/>
          <w:sz w:val="24"/>
          <w:szCs w:val="24"/>
        </w:rPr>
        <w:t>XIV – PROVA DE CONCEITO</w:t>
      </w:r>
    </w:p>
    <w:p w14:paraId="69F7A485"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 –</w:t>
      </w:r>
      <w:r>
        <w:rPr>
          <w:rFonts w:ascii="Times New Roman" w:eastAsia="Batang" w:hAnsi="Times New Roman"/>
          <w:sz w:val="24"/>
          <w:szCs w:val="24"/>
        </w:rPr>
        <w:t xml:space="preserve"> Após a fase de habilitação, verificada a conformidade da proposta melhor classificada com as exigências do edital, a empresa licitante provisoriamente declarada vencedora do certame será convocada para a fase de Apresentação dos Sistemas (Prova de Conceito), a ser realizado nas dependências do Instituto de Previdência, com a finalidade de validar todos os requisitos descritos como realizáveis no Anexo I - Termo de Referência.</w:t>
      </w:r>
    </w:p>
    <w:p w14:paraId="5C6F6D16"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14.2 –</w:t>
      </w:r>
      <w:r>
        <w:rPr>
          <w:rFonts w:ascii="Times New Roman" w:eastAsia="Batang" w:hAnsi="Times New Roman"/>
          <w:sz w:val="24"/>
          <w:szCs w:val="24"/>
        </w:rPr>
        <w:t xml:space="preserve"> A Comissão Especial de Avaliação fará a verificação de conformidade do objeto ofertado, que deverá ser iniciado até o terceiro dia útil posterior à convocação. A empresa participante do certame deverá na data anteriormente mencionada estar munida de equipamentos e pessoal técnico qualificado para a demonstração prática dos sistemas com simulação, de forma a comprovar todas as tarefas e características descritas como realizáveis pelos sistemas no Anexo I - Termo de Referência, sob pena de, não o fazendo, ser desclassificada no presente processo.</w:t>
      </w:r>
    </w:p>
    <w:p w14:paraId="39B8DEFA"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lastRenderedPageBreak/>
        <w:t>14.3 –</w:t>
      </w:r>
      <w:r>
        <w:rPr>
          <w:rFonts w:ascii="Times New Roman" w:eastAsia="Batang" w:hAnsi="Times New Roman"/>
          <w:sz w:val="24"/>
          <w:szCs w:val="24"/>
        </w:rPr>
        <w:t xml:space="preserve"> A avaliação da demonstração prática dos sistemas do licitante será realizada por Comissão Especial de Avaliação designada através de Portaria. A Comissão Especial de Avaliação será formada por no mínimo 03 (três) membros, sendo no mínimo 01 (um) deles da área de informática e os demais das áreas afins. A avaliação técnica será proferida mediante parecer técnico que julgará as funcionalidades e características dos sistemas apresentados com base no Anexo I - Termo de Referência.</w:t>
      </w:r>
    </w:p>
    <w:p w14:paraId="044EEB93"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14.4 –</w:t>
      </w:r>
      <w:r>
        <w:rPr>
          <w:rFonts w:ascii="Times New Roman" w:eastAsia="Batang" w:hAnsi="Times New Roman"/>
          <w:sz w:val="24"/>
          <w:szCs w:val="24"/>
        </w:rPr>
        <w:t xml:space="preserve"> Caso não seja possível demonstrar todos os sistemas em um único dia, a demonstração seguirá pelos dias subsequentes, exceto se houver feriado e/ou finais de semana, quando a sessão será suspensa e reiniciada no primeiro dia útil subsequente. </w:t>
      </w:r>
    </w:p>
    <w:p w14:paraId="62B01634"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14.5 –</w:t>
      </w:r>
      <w:r>
        <w:rPr>
          <w:rFonts w:ascii="Times New Roman" w:eastAsia="Batang" w:hAnsi="Times New Roman"/>
          <w:sz w:val="24"/>
          <w:szCs w:val="24"/>
        </w:rPr>
        <w:t xml:space="preserve"> Estima-se o prazo máximo de 05 (cinco) dias para a realização da apresentação dos sistemas de todos os módulos licitados, podendo ser prorrogado mediante fato superveniente devidamente justificado pela Comissão Especial de Avaliação.</w:t>
      </w:r>
    </w:p>
    <w:p w14:paraId="1850C4C0"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14.6 –</w:t>
      </w:r>
      <w:r>
        <w:rPr>
          <w:rFonts w:ascii="Times New Roman" w:eastAsia="Batang" w:hAnsi="Times New Roman"/>
          <w:sz w:val="24"/>
          <w:szCs w:val="24"/>
        </w:rPr>
        <w:t xml:space="preserve"> A posição da Comissão Especial de Avaliação, não eximirá a empresa de responsabilidades, cujo não atendimento venha a ser verificado no ato da implantação dos sistemas. </w:t>
      </w:r>
    </w:p>
    <w:p w14:paraId="6D98B6E4"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14.7 –</w:t>
      </w:r>
      <w:r>
        <w:rPr>
          <w:rFonts w:ascii="Times New Roman" w:eastAsia="Batang" w:hAnsi="Times New Roman"/>
          <w:sz w:val="24"/>
          <w:szCs w:val="24"/>
        </w:rPr>
        <w:t xml:space="preserve"> O atendimento aos requisitos descritos no Anexo I - Termo de Referência, será validado pela Comissão Especial de Avaliação, os quais formalizarão relatório próprio, que integrará o processo. O relatório conclusivo da demonstração somente será expedido após a finalização dos testes pela empresa declarada inicialmente como vencedora.</w:t>
      </w:r>
    </w:p>
    <w:p w14:paraId="16AD2B10"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14.8 –</w:t>
      </w:r>
      <w:r>
        <w:rPr>
          <w:rFonts w:ascii="Times New Roman" w:eastAsia="Batang" w:hAnsi="Times New Roman"/>
          <w:sz w:val="24"/>
          <w:szCs w:val="24"/>
        </w:rPr>
        <w:t xml:space="preserve"> A Comissão Especial de Avaliação expedirá o relatório no prazo máximo de até 03 (três) dias úteis após a finalização da apresentação dos sistemas.</w:t>
      </w:r>
    </w:p>
    <w:p w14:paraId="0C59BD63"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14.9 –</w:t>
      </w:r>
      <w:r>
        <w:rPr>
          <w:rFonts w:ascii="Times New Roman" w:eastAsia="Batang" w:hAnsi="Times New Roman"/>
          <w:sz w:val="24"/>
          <w:szCs w:val="24"/>
        </w:rPr>
        <w:t xml:space="preserve"> Os itens deverão ser demonstrados na mesma ordem em que se encontram descritos no Anexo I - Termo de Referência. Entretanto, caso existam itens conexos, poderá a empresa vencedora propor a inversão da ordem de apresentação objetivando agilizar os trabalhos.</w:t>
      </w:r>
    </w:p>
    <w:p w14:paraId="69C337C2"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14.10 –</w:t>
      </w:r>
      <w:r>
        <w:rPr>
          <w:rFonts w:ascii="Times New Roman" w:eastAsia="Batang" w:hAnsi="Times New Roman"/>
          <w:sz w:val="24"/>
          <w:szCs w:val="24"/>
        </w:rPr>
        <w:t xml:space="preserve"> A sessão de avaliação da conformidade do objeto poderá ser acompanhada por quaisquer outras empresas interessadas, entretanto, as mesmas não poderão intervir na apresentação. Todas as eventuais não conformidades que identificar deverão ser apontadas na ata final a ser elaborada no último dia da prova de conceito.</w:t>
      </w:r>
    </w:p>
    <w:p w14:paraId="013F018B"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14.10.1 –</w:t>
      </w:r>
      <w:r>
        <w:rPr>
          <w:rFonts w:ascii="Times New Roman" w:eastAsia="Batang" w:hAnsi="Times New Roman"/>
          <w:sz w:val="24"/>
          <w:szCs w:val="24"/>
        </w:rPr>
        <w:t xml:space="preserve"> O acompanhamento da demonstração será mediante a realização da inscrição por e-mail enviado à Comissão de Licitação, em até 3 (três) dias úteis após a convocação para Apresentação dos Sistemas (Prova de Conceito).</w:t>
      </w:r>
    </w:p>
    <w:p w14:paraId="692AF2D5"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14.11 –</w:t>
      </w:r>
      <w:r>
        <w:rPr>
          <w:rFonts w:ascii="Times New Roman" w:eastAsia="Batang" w:hAnsi="Times New Roman"/>
          <w:sz w:val="24"/>
          <w:szCs w:val="24"/>
        </w:rPr>
        <w:t xml:space="preserve"> A Comissão Especial de Avaliação poderá requerer da empresa vencedora, além da demonstração dos itens descritos no Anexo I - Termo de Referência, a simulação de casos práticos do dia a dia, tais como cadastro de pessoas, sua vinculação ao cadastro de usuários, empenho, liquidação, etc.</w:t>
      </w:r>
    </w:p>
    <w:p w14:paraId="2FB2BE35"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14.12 –</w:t>
      </w:r>
      <w:r>
        <w:rPr>
          <w:rFonts w:ascii="Times New Roman" w:eastAsia="Batang" w:hAnsi="Times New Roman"/>
          <w:sz w:val="24"/>
          <w:szCs w:val="24"/>
        </w:rPr>
        <w:t xml:space="preserve"> Todos os itens do Termo de Referência são considerados obrigatórios, por se tratarem de requisitos mínimos para a prestação de serviços, caso a detentora da melhor proposta não comprove o pleno atendimento a todos os itens descritos no Anexo I - Termo de Referência será convocada a licitante detentora do segundo melhor preço, bem como as remanescentes, observada a ordem de classificação final para o exercício do mesmo procedimento.</w:t>
      </w:r>
    </w:p>
    <w:p w14:paraId="7737BA9D" w14:textId="77777777" w:rsidR="005C2B9E"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lastRenderedPageBreak/>
        <w:t>14.13 –</w:t>
      </w:r>
      <w:r>
        <w:rPr>
          <w:rFonts w:ascii="Times New Roman" w:eastAsia="Batang" w:hAnsi="Times New Roman"/>
          <w:sz w:val="24"/>
          <w:szCs w:val="24"/>
        </w:rPr>
        <w:t xml:space="preserve"> O não comparecimento para execução da prova na data e hora marcada, com justificativa fundamentada e aceita pela Comissão Especial de Avaliação, bem como a não demonstração de atendimento a quaisquer dos requisitos exigidos, implicará a desclassificação da proponente do certame, sujeitando, inclusive a mesma às penalidades previstas neste edital, vez que a Administração pretende contratar uma solução já desenvolvida e apta à utilização.</w:t>
      </w:r>
      <w:bookmarkEnd w:id="4"/>
    </w:p>
    <w:p w14:paraId="2FFEFE31" w14:textId="77777777" w:rsidR="005C2B9E" w:rsidRDefault="005C2B9E">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p>
    <w:p w14:paraId="646A59AB"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r>
        <w:rPr>
          <w:rFonts w:ascii="Times New Roman" w:eastAsia="Batang" w:hAnsi="Times New Roman"/>
          <w:b/>
          <w:sz w:val="24"/>
          <w:szCs w:val="24"/>
        </w:rPr>
        <w:t>XV – DA ADJUDICAÇÃO, DA HOMOLOGAÇÃO E CONVOCAÇÃO PARA ASSINAR O CONTRATO</w:t>
      </w:r>
    </w:p>
    <w:p w14:paraId="5EFED3FB"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 xml:space="preserve">15.1 </w:t>
      </w:r>
      <w:r>
        <w:rPr>
          <w:rFonts w:ascii="Times New Roman" w:eastAsia="Batang" w:hAnsi="Times New Roman"/>
          <w:bCs/>
          <w:sz w:val="24"/>
          <w:szCs w:val="24"/>
        </w:rPr>
        <w:t>- Encerradas as fases de julgamento e habilitação, e exauridos os recursos administrativos, o processo licitatório será encaminhado à autoridade superior para promover a adjudicação do objeto e homologar a licitação.</w:t>
      </w:r>
    </w:p>
    <w:p w14:paraId="71171C5F"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15.2 -</w:t>
      </w:r>
      <w:r>
        <w:rPr>
          <w:rFonts w:ascii="Times New Roman" w:eastAsia="Batang" w:hAnsi="Times New Roman"/>
          <w:bCs/>
          <w:sz w:val="24"/>
          <w:szCs w:val="24"/>
        </w:rPr>
        <w:t xml:space="preserve"> Após a homologação, o adjudicatário será convocado para assinar o contrato no prazo de até 5 (cinco) dias úteis a partir da data da convocação, sob pena de decair o direito à contratação, sem prejuízo das sanções previstas neste Edital e seus anexos.</w:t>
      </w:r>
    </w:p>
    <w:p w14:paraId="1EA860B3"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15.2.1 -</w:t>
      </w:r>
      <w:r>
        <w:rPr>
          <w:rFonts w:ascii="Times New Roman" w:eastAsia="Batang" w:hAnsi="Times New Roman"/>
          <w:bCs/>
          <w:sz w:val="24"/>
          <w:szCs w:val="24"/>
        </w:rPr>
        <w:t xml:space="preserve"> O prazo para assinatura do contrato poderá ser prorrogado 1 (uma) vez, por igual período, mediante solicitação da parte durante seu transcurso, devidamente justificada e desde que o motivo seja aceito pela Administração.</w:t>
      </w:r>
    </w:p>
    <w:p w14:paraId="3C9273FE" w14:textId="77777777" w:rsidR="005C2B9E"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15.2.2 -</w:t>
      </w:r>
      <w:r>
        <w:rPr>
          <w:rFonts w:ascii="Times New Roman" w:eastAsia="Batang" w:hAnsi="Times New Roman"/>
          <w:bCs/>
          <w:sz w:val="24"/>
          <w:szCs w:val="24"/>
        </w:rPr>
        <w:t xml:space="preserve"> A Administração, quando o convocado não assinar o Termo de Contrato ou não aceitar ou retirar o instrumento equivalente no prazo e nas condições estabelecidas, poderá convocar os licitantes remanescentes, na ordem de classificação, para a celebração do contrato nas condições propostas pelo licitante vencedor.</w:t>
      </w:r>
    </w:p>
    <w:p w14:paraId="59789D41" w14:textId="77777777" w:rsidR="005C2B9E"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15.2.3 -</w:t>
      </w:r>
      <w:r>
        <w:rPr>
          <w:rFonts w:ascii="Times New Roman" w:eastAsia="Batang" w:hAnsi="Times New Roman"/>
          <w:bCs/>
          <w:sz w:val="24"/>
          <w:szCs w:val="24"/>
        </w:rPr>
        <w:t xml:space="preserve"> Caso nenhum dos licitantes aceitar a contratação nos termos do subitem anterior, a Administração, observados o valor estimado e sua eventual atualização nos termos deste edital, poderá:</w:t>
      </w:r>
    </w:p>
    <w:p w14:paraId="0335B97B" w14:textId="77777777" w:rsidR="005C2B9E"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w:t>
      </w:r>
      <w:r>
        <w:rPr>
          <w:rFonts w:ascii="Times New Roman" w:eastAsia="Batang" w:hAnsi="Times New Roman"/>
          <w:bCs/>
          <w:sz w:val="24"/>
          <w:szCs w:val="24"/>
        </w:rPr>
        <w:t xml:space="preserve"> Convocar os licitantes remanescentes para negociação, na ordem de classificação, com vistas à obtenção de preço melhor, mesmo que acima do preço ou inferior ao desconto do adjudicatário;</w:t>
      </w:r>
    </w:p>
    <w:p w14:paraId="3F19689E" w14:textId="77777777" w:rsidR="005C2B9E"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w:t>
      </w:r>
      <w:r>
        <w:rPr>
          <w:rFonts w:ascii="Times New Roman" w:eastAsia="Batang" w:hAnsi="Times New Roman"/>
          <w:bCs/>
          <w:sz w:val="24"/>
          <w:szCs w:val="24"/>
        </w:rPr>
        <w:t xml:space="preserve"> Adjudicar e celebrar o contrato nas condições ofertadas pelos licitantes remanescentes, atendida a ordem classificatória, quando frustrada a negociação de melhor condição.</w:t>
      </w:r>
    </w:p>
    <w:p w14:paraId="4CCF536F" w14:textId="77777777" w:rsidR="005C2B9E" w:rsidRDefault="005C2B9E">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p>
    <w:p w14:paraId="48C0B898" w14:textId="77777777" w:rsidR="005C2B9E" w:rsidRDefault="00000000">
      <w:pPr>
        <w:pBdr>
          <w:bottom w:val="double" w:sz="4" w:space="1" w:color="000000"/>
        </w:pBd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rPr>
          <w:rFonts w:ascii="Times New Roman" w:eastAsia="Batang" w:hAnsi="Times New Roman"/>
          <w:sz w:val="24"/>
          <w:szCs w:val="24"/>
        </w:rPr>
      </w:pPr>
      <w:r>
        <w:rPr>
          <w:rFonts w:ascii="Times New Roman" w:eastAsia="Batang" w:hAnsi="Times New Roman"/>
          <w:b/>
          <w:sz w:val="24"/>
          <w:szCs w:val="24"/>
        </w:rPr>
        <w:t>XVI – ORIENTAÇÕES SOBRE A EXECUÇÃO DA CONTRATAÇÃO</w:t>
      </w:r>
    </w:p>
    <w:p w14:paraId="24766EF2" w14:textId="77777777" w:rsidR="005C2B9E" w:rsidRDefault="00000000">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hAnsi="Times New Roman"/>
          <w:sz w:val="24"/>
          <w:szCs w:val="24"/>
        </w:rPr>
      </w:pPr>
      <w:r>
        <w:rPr>
          <w:rFonts w:ascii="Times New Roman" w:eastAsia="Batang" w:hAnsi="Times New Roman"/>
          <w:b/>
          <w:sz w:val="24"/>
          <w:szCs w:val="24"/>
        </w:rPr>
        <w:t xml:space="preserve">16.1 </w:t>
      </w:r>
      <w:r>
        <w:rPr>
          <w:rFonts w:ascii="Times New Roman" w:hAnsi="Times New Roman"/>
          <w:b/>
          <w:sz w:val="24"/>
          <w:szCs w:val="24"/>
        </w:rPr>
        <w:t>-</w:t>
      </w:r>
      <w:r>
        <w:rPr>
          <w:rFonts w:ascii="Times New Roman" w:hAnsi="Times New Roman"/>
          <w:sz w:val="24"/>
          <w:szCs w:val="24"/>
        </w:rPr>
        <w:t xml:space="preserve"> Todos os procedimentos e orientações sobre a execução da contratação constam no Termo de Referência – ANEXO I e Minuta do Contrato – ANEXO II.</w:t>
      </w:r>
    </w:p>
    <w:p w14:paraId="6E8AF794" w14:textId="77777777" w:rsidR="005C2B9E" w:rsidRDefault="005C2B9E">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p>
    <w:p w14:paraId="6448D569" w14:textId="77777777" w:rsidR="005C2B9E" w:rsidRDefault="00000000">
      <w:pPr>
        <w:pBdr>
          <w:bottom w:val="double" w:sz="4" w:space="1" w:color="000000"/>
        </w:pBdr>
        <w:tabs>
          <w:tab w:val="left" w:pos="993"/>
          <w:tab w:val="left" w:pos="1418"/>
        </w:tabs>
        <w:spacing w:before="120" w:after="0" w:line="240" w:lineRule="auto"/>
        <w:ind w:firstLine="10"/>
        <w:rPr>
          <w:rFonts w:ascii="Times New Roman" w:eastAsia="Batang" w:hAnsi="Times New Roman"/>
          <w:b/>
          <w:sz w:val="24"/>
          <w:szCs w:val="24"/>
        </w:rPr>
      </w:pPr>
      <w:r>
        <w:rPr>
          <w:rFonts w:ascii="Times New Roman" w:eastAsia="Batang" w:hAnsi="Times New Roman"/>
          <w:b/>
          <w:sz w:val="24"/>
          <w:szCs w:val="24"/>
        </w:rPr>
        <w:t>XVII –</w:t>
      </w:r>
      <w:r>
        <w:rPr>
          <w:rFonts w:ascii="Calibri-Bold" w:hAnsi="Calibri-Bold"/>
          <w:b/>
          <w:bCs/>
          <w:color w:val="000000"/>
          <w:sz w:val="24"/>
          <w:szCs w:val="24"/>
        </w:rPr>
        <w:t xml:space="preserve"> </w:t>
      </w:r>
      <w:r>
        <w:rPr>
          <w:rFonts w:ascii="Times New Roman" w:eastAsia="Batang" w:hAnsi="Times New Roman"/>
          <w:b/>
          <w:bCs/>
          <w:sz w:val="24"/>
          <w:szCs w:val="24"/>
        </w:rPr>
        <w:t>DO PAGAMENTO</w:t>
      </w:r>
    </w:p>
    <w:p w14:paraId="593005AB"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17.1 -</w:t>
      </w:r>
      <w:r>
        <w:rPr>
          <w:rFonts w:ascii="Times New Roman" w:eastAsia="Batang" w:hAnsi="Times New Roman"/>
          <w:bCs/>
          <w:sz w:val="24"/>
          <w:szCs w:val="24"/>
        </w:rPr>
        <w:t xml:space="preserve"> As orientações sobre o pagamento constam no Termo de Referência – ANEXO I e Minuta do Contrato – ANEXO II.</w:t>
      </w:r>
      <w:r>
        <w:rPr>
          <w:rFonts w:ascii="Times New Roman" w:eastAsia="Batang" w:hAnsi="Times New Roman"/>
          <w:bCs/>
          <w:sz w:val="24"/>
          <w:szCs w:val="24"/>
        </w:rPr>
        <w:tab/>
      </w:r>
    </w:p>
    <w:p w14:paraId="225659DF" w14:textId="77777777" w:rsidR="005C2B9E" w:rsidRDefault="00000000">
      <w:pPr>
        <w:pBdr>
          <w:bottom w:val="double" w:sz="4" w:space="1" w:color="000000"/>
        </w:pBdr>
        <w:tabs>
          <w:tab w:val="left" w:pos="993"/>
          <w:tab w:val="left" w:pos="1418"/>
        </w:tabs>
        <w:spacing w:before="120" w:after="0" w:line="240" w:lineRule="auto"/>
        <w:ind w:firstLine="10"/>
        <w:rPr>
          <w:rFonts w:ascii="Times New Roman" w:eastAsia="Batang" w:hAnsi="Times New Roman"/>
          <w:b/>
          <w:sz w:val="24"/>
          <w:szCs w:val="24"/>
        </w:rPr>
      </w:pPr>
      <w:r>
        <w:rPr>
          <w:rFonts w:ascii="Times New Roman" w:eastAsia="Batang" w:hAnsi="Times New Roman"/>
          <w:b/>
          <w:sz w:val="24"/>
          <w:szCs w:val="24"/>
        </w:rPr>
        <w:tab/>
      </w:r>
    </w:p>
    <w:p w14:paraId="65C2974D" w14:textId="77777777" w:rsidR="005C2B9E" w:rsidRDefault="00000000">
      <w:pPr>
        <w:pBdr>
          <w:bottom w:val="double" w:sz="4" w:space="1" w:color="000000"/>
        </w:pBdr>
        <w:tabs>
          <w:tab w:val="left" w:pos="993"/>
          <w:tab w:val="left" w:pos="1418"/>
        </w:tabs>
        <w:spacing w:before="120" w:after="0" w:line="240" w:lineRule="auto"/>
        <w:ind w:firstLine="10"/>
        <w:rPr>
          <w:rFonts w:ascii="Times New Roman" w:eastAsia="Batang" w:hAnsi="Times New Roman"/>
          <w:b/>
          <w:sz w:val="24"/>
          <w:szCs w:val="24"/>
        </w:rPr>
      </w:pPr>
      <w:r>
        <w:rPr>
          <w:rFonts w:ascii="Times New Roman" w:eastAsia="Batang" w:hAnsi="Times New Roman"/>
          <w:b/>
          <w:sz w:val="24"/>
          <w:szCs w:val="24"/>
        </w:rPr>
        <w:lastRenderedPageBreak/>
        <w:t>XVIII –</w:t>
      </w:r>
      <w:r>
        <w:rPr>
          <w:rFonts w:ascii="Times New Roman" w:hAnsi="Times New Roman"/>
          <w:b/>
          <w:bCs/>
          <w:color w:val="000000"/>
          <w:sz w:val="24"/>
          <w:szCs w:val="24"/>
        </w:rPr>
        <w:t xml:space="preserve"> DAS </w:t>
      </w:r>
      <w:r>
        <w:rPr>
          <w:rFonts w:ascii="Times New Roman" w:eastAsia="Batang" w:hAnsi="Times New Roman"/>
          <w:b/>
          <w:bCs/>
          <w:sz w:val="24"/>
          <w:szCs w:val="24"/>
        </w:rPr>
        <w:t>SANÇÕES ADMINISTRATIVAS</w:t>
      </w:r>
    </w:p>
    <w:p w14:paraId="75335643"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18.1 -</w:t>
      </w:r>
      <w:r>
        <w:rPr>
          <w:rFonts w:ascii="Times New Roman" w:eastAsia="Batang" w:hAnsi="Times New Roman"/>
          <w:bCs/>
          <w:sz w:val="24"/>
          <w:szCs w:val="24"/>
        </w:rPr>
        <w:t xml:space="preserve"> Os licitantes estarão sujeitos às sanções administrativas previstas na Lei nº 14.133, de 2021, e às demais cominações legais, resguardado o direito à ampla defesa;</w:t>
      </w:r>
    </w:p>
    <w:p w14:paraId="4D813AC1" w14:textId="77777777" w:rsidR="005C2B9E"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18.2 -</w:t>
      </w:r>
      <w:r>
        <w:rPr>
          <w:rFonts w:ascii="Times New Roman" w:eastAsia="Batang" w:hAnsi="Times New Roman"/>
          <w:bCs/>
          <w:sz w:val="24"/>
          <w:szCs w:val="24"/>
        </w:rPr>
        <w:t xml:space="preserve"> As sanções relativas à execução do contrato constam no Termo de Referência – ANEXO I.</w:t>
      </w:r>
      <w:r>
        <w:rPr>
          <w:rFonts w:ascii="Times New Roman" w:eastAsia="Batang" w:hAnsi="Times New Roman"/>
          <w:bCs/>
          <w:sz w:val="24"/>
          <w:szCs w:val="24"/>
        </w:rPr>
        <w:tab/>
      </w:r>
    </w:p>
    <w:p w14:paraId="71B7E609"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br/>
        <w:t xml:space="preserve">XIX – </w:t>
      </w:r>
      <w:r>
        <w:rPr>
          <w:rFonts w:ascii="Times New Roman" w:hAnsi="Times New Roman"/>
          <w:b/>
          <w:bCs/>
          <w:sz w:val="24"/>
          <w:szCs w:val="24"/>
        </w:rPr>
        <w:t>DO CONTRATO</w:t>
      </w:r>
    </w:p>
    <w:p w14:paraId="3700E500" w14:textId="77777777" w:rsidR="005C2B9E" w:rsidRDefault="00000000">
      <w:pPr>
        <w:pStyle w:val="Corpodetexto"/>
        <w:spacing w:before="120"/>
        <w:ind w:right="-37"/>
        <w:jc w:val="both"/>
        <w:rPr>
          <w:rFonts w:ascii="Times New Roman" w:eastAsia="Batang" w:hAnsi="Times New Roman"/>
          <w:sz w:val="24"/>
          <w:szCs w:val="24"/>
        </w:rPr>
      </w:pPr>
      <w:r>
        <w:rPr>
          <w:rFonts w:ascii="Times New Roman" w:eastAsia="Batang" w:hAnsi="Times New Roman"/>
          <w:b/>
          <w:sz w:val="24"/>
          <w:szCs w:val="24"/>
        </w:rPr>
        <w:t>19.1 –</w:t>
      </w:r>
      <w:r>
        <w:rPr>
          <w:rFonts w:ascii="Times New Roman" w:eastAsia="Batang" w:hAnsi="Times New Roman"/>
          <w:sz w:val="24"/>
          <w:szCs w:val="24"/>
        </w:rPr>
        <w:t xml:space="preserve"> As informações relativas a vigência do Contrato, suas eventuais prorrogações,</w:t>
      </w:r>
      <w:r>
        <w:t xml:space="preserve"> </w:t>
      </w:r>
      <w:r>
        <w:rPr>
          <w:rFonts w:ascii="Times New Roman" w:eastAsia="Batang" w:hAnsi="Times New Roman"/>
          <w:sz w:val="24"/>
          <w:szCs w:val="24"/>
        </w:rPr>
        <w:t>índice de reajustamento de preço, fiscalização e gestão do contrato,  entrega do objeto e condições de pagamento constam no Termo de Referência – ANEXO I e Minuta do Contrato – ANEXO II.</w:t>
      </w:r>
    </w:p>
    <w:p w14:paraId="385E030C" w14:textId="77777777" w:rsidR="005C2B9E" w:rsidRDefault="00000000">
      <w:pPr>
        <w:pStyle w:val="Corpodetexto"/>
        <w:spacing w:before="120" w:after="0" w:line="240" w:lineRule="auto"/>
        <w:ind w:right="-37"/>
        <w:jc w:val="both"/>
        <w:rPr>
          <w:rFonts w:ascii="Times New Roman" w:eastAsia="Batang" w:hAnsi="Times New Roman"/>
          <w:sz w:val="24"/>
          <w:szCs w:val="24"/>
        </w:rPr>
      </w:pPr>
      <w:r>
        <w:rPr>
          <w:rFonts w:ascii="Times New Roman" w:eastAsia="Batang" w:hAnsi="Times New Roman"/>
          <w:b/>
          <w:bCs/>
          <w:sz w:val="24"/>
          <w:szCs w:val="24"/>
        </w:rPr>
        <w:t>19.2 -</w:t>
      </w:r>
      <w:r>
        <w:rPr>
          <w:rFonts w:ascii="Times New Roman" w:eastAsia="Batang" w:hAnsi="Times New Roman"/>
          <w:sz w:val="24"/>
          <w:szCs w:val="24"/>
        </w:rPr>
        <w:t xml:space="preserve"> As previsões quanto assinatura do contrato constam na Cláusula XV deste edital.</w:t>
      </w:r>
    </w:p>
    <w:p w14:paraId="09A7B93B" w14:textId="77777777" w:rsidR="005C2B9E" w:rsidRDefault="005C2B9E">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p>
    <w:p w14:paraId="0279C60F" w14:textId="77777777" w:rsidR="005C2B9E"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t xml:space="preserve">XX – DOTAÇÃO </w:t>
      </w:r>
    </w:p>
    <w:p w14:paraId="14AFD4B7" w14:textId="77777777" w:rsidR="005C2B9E" w:rsidRDefault="00000000">
      <w:pPr>
        <w:spacing w:after="0" w:line="240" w:lineRule="auto"/>
        <w:jc w:val="both"/>
        <w:rPr>
          <w:rFonts w:ascii="Times New Roman" w:hAnsi="Times New Roman"/>
          <w:sz w:val="24"/>
          <w:szCs w:val="24"/>
        </w:rPr>
      </w:pPr>
      <w:r>
        <w:rPr>
          <w:rFonts w:ascii="Times New Roman" w:hAnsi="Times New Roman"/>
          <w:b/>
          <w:sz w:val="24"/>
        </w:rPr>
        <w:t>20.1</w:t>
      </w:r>
      <w:r>
        <w:rPr>
          <w:rFonts w:ascii="Times New Roman" w:hAnsi="Times New Roman"/>
          <w:sz w:val="24"/>
        </w:rPr>
        <w:t xml:space="preserve"> </w:t>
      </w:r>
      <w:r>
        <w:rPr>
          <w:rFonts w:ascii="Times New Roman" w:hAnsi="Times New Roman"/>
          <w:b/>
          <w:sz w:val="24"/>
        </w:rPr>
        <w:t>–</w:t>
      </w:r>
      <w:r>
        <w:rPr>
          <w:rFonts w:ascii="Times New Roman" w:hAnsi="Times New Roman"/>
          <w:sz w:val="24"/>
        </w:rPr>
        <w:t xml:space="preserve"> </w:t>
      </w:r>
      <w:r>
        <w:rPr>
          <w:rFonts w:ascii="Times New Roman" w:hAnsi="Times New Roman"/>
          <w:sz w:val="24"/>
          <w:szCs w:val="24"/>
        </w:rPr>
        <w:t>As despesas decorrentes da presente contratação correrão à conta de recursos específicos consignados no Orçamento deste exercício, Projeto 000007000001.0912270012.701 – Manutenção do Instituto de Previdência dos Servidores Públicos de São Gabriel da Palha. Elemento 33904000000 – Serviços de tecnologia da informação e comunicação – pessoa jurídica - Ficha 657.</w:t>
      </w:r>
    </w:p>
    <w:p w14:paraId="38802ADA" w14:textId="77777777" w:rsidR="005C2B9E" w:rsidRDefault="005C2B9E">
      <w:pPr>
        <w:spacing w:after="0" w:line="240" w:lineRule="auto"/>
        <w:jc w:val="both"/>
        <w:rPr>
          <w:rFonts w:ascii="Times New Roman" w:hAnsi="Times New Roman"/>
          <w:sz w:val="24"/>
          <w:szCs w:val="24"/>
        </w:rPr>
      </w:pPr>
    </w:p>
    <w:p w14:paraId="27F8CAC8" w14:textId="77777777" w:rsidR="005C2B9E" w:rsidRDefault="00000000">
      <w:pPr>
        <w:pBdr>
          <w:bottom w:val="double" w:sz="4" w:space="1" w:color="000000"/>
        </w:pBdr>
        <w:spacing w:before="120" w:after="0" w:line="240" w:lineRule="auto"/>
        <w:jc w:val="both"/>
        <w:rPr>
          <w:rFonts w:ascii="Times New Roman" w:hAnsi="Times New Roman"/>
          <w:sz w:val="24"/>
          <w:szCs w:val="24"/>
        </w:rPr>
      </w:pPr>
      <w:r>
        <w:rPr>
          <w:rFonts w:ascii="Times New Roman" w:eastAsia="Batang" w:hAnsi="Times New Roman"/>
          <w:b/>
          <w:sz w:val="24"/>
          <w:szCs w:val="24"/>
        </w:rPr>
        <w:t>XXI – DAS DISPOSIÇÕES GERAIS</w:t>
      </w:r>
    </w:p>
    <w:p w14:paraId="0E882F7A" w14:textId="77777777" w:rsidR="005C2B9E"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21.1</w:t>
      </w:r>
      <w:r>
        <w:rPr>
          <w:rFonts w:ascii="Times New Roman" w:eastAsia="Batang" w:hAnsi="Times New Roman"/>
          <w:sz w:val="24"/>
          <w:szCs w:val="24"/>
        </w:rPr>
        <w:t xml:space="preserve"> - É facultado ao Pregoeiro, em qualquer fase do procedimento, efetuar diligências destinadas a esclarecer ou completar a instrução do processo, sendo vedada aos licitantes a juntada posterior de informações ou documentos que deveriam ter sido apresentados para fins de análise da proposta de preço e habilitação.</w:t>
      </w:r>
    </w:p>
    <w:p w14:paraId="1992267A" w14:textId="77777777" w:rsidR="005C2B9E"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21.2 -</w:t>
      </w:r>
      <w:r>
        <w:rPr>
          <w:rFonts w:ascii="Times New Roman" w:eastAsia="Batang" w:hAnsi="Times New Roman"/>
          <w:sz w:val="24"/>
          <w:szCs w:val="24"/>
        </w:rPr>
        <w:t xml:space="preserve"> É facultado ao Pregoeiro, em qualquer fase do procedimento, solicitar informações complementares aos licitantes.</w:t>
      </w:r>
    </w:p>
    <w:p w14:paraId="16DAD0EB" w14:textId="77777777" w:rsidR="005C2B9E"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21.3 -</w:t>
      </w:r>
      <w:r>
        <w:rPr>
          <w:rFonts w:ascii="Times New Roman" w:eastAsia="Batang" w:hAnsi="Times New Roman"/>
          <w:sz w:val="24"/>
          <w:szCs w:val="24"/>
        </w:rPr>
        <w:t xml:space="preserve"> É facultado ao Pregoeiro solicitar a contribuição de servidores do Instituto de Previdência para subsidiar a análise técnica de qualquer objeto licitado.</w:t>
      </w:r>
    </w:p>
    <w:p w14:paraId="638D7C7E" w14:textId="77777777" w:rsidR="005C2B9E"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21.4 -</w:t>
      </w:r>
      <w:r>
        <w:rPr>
          <w:rFonts w:ascii="Times New Roman" w:eastAsia="Batang" w:hAnsi="Times New Roman"/>
          <w:sz w:val="24"/>
          <w:szCs w:val="24"/>
        </w:rPr>
        <w:t xml:space="preserve"> Cabe ao Pregoeiro solucionar os casos omissos do edital com base no ordenamento jurídico vigente e nos princípios de Direito Público.</w:t>
      </w:r>
    </w:p>
    <w:p w14:paraId="45EDE5A9" w14:textId="77777777" w:rsidR="005C2B9E"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21.5 -</w:t>
      </w:r>
      <w:r>
        <w:rPr>
          <w:rFonts w:ascii="Times New Roman" w:eastAsia="Batang" w:hAnsi="Times New Roman"/>
          <w:sz w:val="24"/>
          <w:szCs w:val="24"/>
        </w:rPr>
        <w:t xml:space="preserve"> O licitante é responsável pela veracidade das informações prestadas e dos documentos apresentados em qualquer fase do Pregão, cabendo responsabilização na esfera civil, penal e administrativa pela prática de atos fraudulentos.</w:t>
      </w:r>
    </w:p>
    <w:p w14:paraId="52904FD9" w14:textId="77777777" w:rsidR="005C2B9E"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21.6 -</w:t>
      </w:r>
      <w:r>
        <w:rPr>
          <w:rFonts w:ascii="Times New Roman" w:eastAsia="Batang" w:hAnsi="Times New Roman"/>
          <w:sz w:val="24"/>
          <w:szCs w:val="24"/>
        </w:rPr>
        <w:t xml:space="preserve"> Fazem parte do presente Edital integrando-o de forma plena, independentemente de transcrição:</w:t>
      </w:r>
    </w:p>
    <w:p w14:paraId="05540E4E" w14:textId="256452A2" w:rsidR="005C2B9E" w:rsidRDefault="00000000">
      <w:pPr>
        <w:tabs>
          <w:tab w:val="left" w:pos="720"/>
          <w:tab w:val="left" w:pos="910"/>
        </w:tabs>
        <w:spacing w:before="120" w:after="0" w:line="240" w:lineRule="auto"/>
        <w:jc w:val="both"/>
        <w:rPr>
          <w:rFonts w:ascii="Times New Roman" w:hAnsi="Times New Roman"/>
          <w:sz w:val="24"/>
          <w:szCs w:val="24"/>
        </w:rPr>
      </w:pPr>
      <w:r>
        <w:rPr>
          <w:rFonts w:ascii="Times New Roman" w:hAnsi="Times New Roman"/>
          <w:b/>
          <w:sz w:val="24"/>
          <w:szCs w:val="24"/>
        </w:rPr>
        <w:t>a) Anexo I –</w:t>
      </w:r>
      <w:r>
        <w:rPr>
          <w:rFonts w:ascii="Times New Roman" w:eastAsia="Batang" w:hAnsi="Times New Roman"/>
          <w:sz w:val="24"/>
          <w:szCs w:val="24"/>
        </w:rPr>
        <w:t xml:space="preserve"> Termo de Referência</w:t>
      </w:r>
      <w:r>
        <w:rPr>
          <w:rFonts w:ascii="Times New Roman" w:hAnsi="Times New Roman"/>
          <w:sz w:val="24"/>
          <w:szCs w:val="24"/>
        </w:rPr>
        <w:t>;</w:t>
      </w:r>
    </w:p>
    <w:p w14:paraId="49D2700E" w14:textId="2AFDC1E0" w:rsidR="00C40AFB" w:rsidRDefault="00C40AFB">
      <w:pPr>
        <w:tabs>
          <w:tab w:val="left" w:pos="720"/>
          <w:tab w:val="left" w:pos="910"/>
        </w:tabs>
        <w:spacing w:before="120" w:after="0" w:line="240" w:lineRule="auto"/>
        <w:jc w:val="both"/>
        <w:rPr>
          <w:rFonts w:ascii="Times New Roman" w:hAnsi="Times New Roman"/>
          <w:sz w:val="24"/>
          <w:szCs w:val="24"/>
        </w:rPr>
      </w:pPr>
      <w:r w:rsidRPr="00C40AFB">
        <w:rPr>
          <w:rFonts w:ascii="Times New Roman" w:hAnsi="Times New Roman"/>
          <w:b/>
          <w:bCs/>
          <w:sz w:val="24"/>
          <w:szCs w:val="24"/>
        </w:rPr>
        <w:t>b) Anexo I-1 – Estudo Técnico Preliminar;</w:t>
      </w:r>
    </w:p>
    <w:p w14:paraId="64038058" w14:textId="353EF9DD" w:rsidR="00C40AFB" w:rsidRPr="00C40AFB" w:rsidRDefault="00C40AFB">
      <w:pPr>
        <w:tabs>
          <w:tab w:val="left" w:pos="720"/>
          <w:tab w:val="left" w:pos="910"/>
        </w:tabs>
        <w:spacing w:before="120" w:after="0" w:line="240" w:lineRule="auto"/>
        <w:jc w:val="both"/>
        <w:rPr>
          <w:rFonts w:ascii="Times New Roman" w:hAnsi="Times New Roman"/>
          <w:b/>
          <w:bCs/>
          <w:sz w:val="24"/>
          <w:szCs w:val="24"/>
        </w:rPr>
      </w:pPr>
      <w:r>
        <w:rPr>
          <w:rFonts w:ascii="Times New Roman" w:hAnsi="Times New Roman"/>
          <w:b/>
          <w:bCs/>
          <w:sz w:val="24"/>
          <w:szCs w:val="24"/>
        </w:rPr>
        <w:lastRenderedPageBreak/>
        <w:t>c) Anexo I-2 – Mapa de Risco</w:t>
      </w:r>
    </w:p>
    <w:p w14:paraId="04B56AFB" w14:textId="5D743D7B" w:rsidR="005C2B9E" w:rsidRDefault="00C40AFB">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d</w:t>
      </w:r>
      <w:r w:rsidR="00000000">
        <w:rPr>
          <w:rFonts w:ascii="Times New Roman" w:eastAsia="Batang" w:hAnsi="Times New Roman"/>
          <w:b/>
          <w:sz w:val="24"/>
          <w:szCs w:val="24"/>
        </w:rPr>
        <w:t>) Anexo II</w:t>
      </w:r>
      <w:r w:rsidR="00000000">
        <w:rPr>
          <w:rFonts w:ascii="Times New Roman" w:eastAsia="Batang" w:hAnsi="Times New Roman"/>
          <w:sz w:val="24"/>
          <w:szCs w:val="24"/>
        </w:rPr>
        <w:t xml:space="preserve"> </w:t>
      </w:r>
      <w:r w:rsidR="00000000">
        <w:rPr>
          <w:rFonts w:ascii="Times New Roman" w:eastAsia="Batang" w:hAnsi="Times New Roman"/>
          <w:b/>
          <w:sz w:val="24"/>
          <w:szCs w:val="24"/>
        </w:rPr>
        <w:t>–</w:t>
      </w:r>
      <w:r w:rsidR="00000000">
        <w:rPr>
          <w:rFonts w:ascii="Times New Roman" w:eastAsia="Batang" w:hAnsi="Times New Roman"/>
          <w:sz w:val="24"/>
          <w:szCs w:val="24"/>
        </w:rPr>
        <w:t xml:space="preserve"> </w:t>
      </w:r>
      <w:r>
        <w:rPr>
          <w:rFonts w:ascii="Times New Roman" w:eastAsia="Batang" w:hAnsi="Times New Roman"/>
          <w:sz w:val="24"/>
          <w:szCs w:val="24"/>
        </w:rPr>
        <w:t>Modelo de Proposta</w:t>
      </w:r>
      <w:r w:rsidR="00000000">
        <w:rPr>
          <w:rFonts w:ascii="Times New Roman" w:eastAsia="Batang" w:hAnsi="Times New Roman"/>
          <w:sz w:val="24"/>
          <w:szCs w:val="24"/>
        </w:rPr>
        <w:t>;</w:t>
      </w:r>
    </w:p>
    <w:p w14:paraId="3ED5CBD7" w14:textId="51916FC9" w:rsidR="005C2B9E" w:rsidRDefault="00C40AFB">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e</w:t>
      </w:r>
      <w:r w:rsidR="00000000">
        <w:rPr>
          <w:rFonts w:ascii="Times New Roman" w:eastAsia="Batang" w:hAnsi="Times New Roman"/>
          <w:b/>
          <w:sz w:val="24"/>
          <w:szCs w:val="24"/>
        </w:rPr>
        <w:t>) Anexo III</w:t>
      </w:r>
      <w:r w:rsidR="00000000">
        <w:rPr>
          <w:rFonts w:ascii="Times New Roman" w:eastAsia="Batang" w:hAnsi="Times New Roman"/>
          <w:sz w:val="24"/>
          <w:szCs w:val="24"/>
        </w:rPr>
        <w:t xml:space="preserve"> </w:t>
      </w:r>
      <w:r w:rsidR="00000000">
        <w:rPr>
          <w:rFonts w:ascii="Times New Roman" w:eastAsia="Batang" w:hAnsi="Times New Roman"/>
          <w:b/>
          <w:sz w:val="24"/>
          <w:szCs w:val="24"/>
        </w:rPr>
        <w:t>–</w:t>
      </w:r>
      <w:r w:rsidR="00000000">
        <w:rPr>
          <w:rFonts w:ascii="Times New Roman" w:eastAsia="Batang" w:hAnsi="Times New Roman"/>
          <w:sz w:val="24"/>
          <w:szCs w:val="24"/>
        </w:rPr>
        <w:t xml:space="preserve"> </w:t>
      </w:r>
      <w:r>
        <w:rPr>
          <w:rFonts w:ascii="Times New Roman" w:hAnsi="Times New Roman"/>
          <w:sz w:val="24"/>
          <w:szCs w:val="24"/>
        </w:rPr>
        <w:t xml:space="preserve">Minuta </w:t>
      </w:r>
      <w:r>
        <w:rPr>
          <w:rFonts w:ascii="Times New Roman" w:eastAsia="Batang" w:hAnsi="Times New Roman"/>
          <w:sz w:val="24"/>
          <w:szCs w:val="24"/>
        </w:rPr>
        <w:t>do Contrato</w:t>
      </w:r>
      <w:r w:rsidR="00000000">
        <w:rPr>
          <w:rFonts w:ascii="Times New Roman" w:eastAsia="Batang" w:hAnsi="Times New Roman"/>
          <w:sz w:val="24"/>
          <w:szCs w:val="24"/>
        </w:rPr>
        <w:t>;</w:t>
      </w:r>
    </w:p>
    <w:p w14:paraId="4E4D1484" w14:textId="31A60D91" w:rsidR="005C2B9E" w:rsidRPr="00C40AFB" w:rsidRDefault="00C40AFB">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f) Anexo IV</w:t>
      </w:r>
      <w:r>
        <w:rPr>
          <w:rFonts w:ascii="Times New Roman" w:eastAsia="Batang" w:hAnsi="Times New Roman"/>
          <w:sz w:val="24"/>
          <w:szCs w:val="24"/>
        </w:rPr>
        <w:t xml:space="preserve"> – Modelo Orientativo da Planilha de Composição de custos.</w:t>
      </w:r>
    </w:p>
    <w:p w14:paraId="7E18DE72" w14:textId="77777777" w:rsidR="005C2B9E" w:rsidRDefault="005C2B9E" w:rsidP="00C40AFB">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ind w:left="720"/>
        <w:rPr>
          <w:rFonts w:ascii="Times New Roman" w:eastAsia="Batang" w:hAnsi="Times New Roman"/>
          <w:sz w:val="24"/>
          <w:szCs w:val="24"/>
        </w:rPr>
      </w:pPr>
    </w:p>
    <w:p w14:paraId="1B1ABB18" w14:textId="7B30194C" w:rsidR="005C2B9E" w:rsidRDefault="00000000">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right"/>
        <w:rPr>
          <w:rFonts w:ascii="Times New Roman" w:eastAsia="Batang" w:hAnsi="Times New Roman"/>
          <w:sz w:val="24"/>
          <w:szCs w:val="24"/>
        </w:rPr>
      </w:pPr>
      <w:r>
        <w:rPr>
          <w:rFonts w:ascii="Times New Roman" w:eastAsia="Batang" w:hAnsi="Times New Roman"/>
          <w:sz w:val="24"/>
          <w:szCs w:val="24"/>
        </w:rPr>
        <w:t xml:space="preserve">São Gabriel da Palha - ES, em </w:t>
      </w:r>
      <w:r w:rsidR="00C40AFB">
        <w:rPr>
          <w:rFonts w:ascii="Times New Roman" w:eastAsia="Batang" w:hAnsi="Times New Roman"/>
          <w:sz w:val="24"/>
          <w:szCs w:val="24"/>
          <w:highlight w:val="yellow"/>
        </w:rPr>
        <w:t>27</w:t>
      </w:r>
      <w:r>
        <w:rPr>
          <w:rFonts w:ascii="Times New Roman" w:eastAsia="Batang" w:hAnsi="Times New Roman"/>
          <w:sz w:val="24"/>
          <w:szCs w:val="24"/>
          <w:highlight w:val="yellow"/>
        </w:rPr>
        <w:t xml:space="preserve"> de </w:t>
      </w:r>
      <w:r w:rsidR="00C40AFB">
        <w:rPr>
          <w:rFonts w:ascii="Times New Roman" w:eastAsia="Batang" w:hAnsi="Times New Roman"/>
          <w:sz w:val="24"/>
          <w:szCs w:val="24"/>
          <w:highlight w:val="yellow"/>
        </w:rPr>
        <w:t>janeiro</w:t>
      </w:r>
      <w:r>
        <w:rPr>
          <w:rFonts w:ascii="Times New Roman" w:eastAsia="Batang" w:hAnsi="Times New Roman"/>
          <w:sz w:val="24"/>
          <w:szCs w:val="24"/>
          <w:highlight w:val="yellow"/>
        </w:rPr>
        <w:t xml:space="preserve"> de 2026.</w:t>
      </w:r>
    </w:p>
    <w:p w14:paraId="6B884EF9" w14:textId="77777777" w:rsidR="005C2B9E" w:rsidRDefault="005C2B9E">
      <w:pPr>
        <w:spacing w:before="120" w:after="0" w:line="240" w:lineRule="auto"/>
        <w:rPr>
          <w:rFonts w:ascii="Times New Roman" w:hAnsi="Times New Roman"/>
          <w:sz w:val="24"/>
          <w:szCs w:val="24"/>
        </w:rPr>
      </w:pPr>
    </w:p>
    <w:p w14:paraId="674A9CB1" w14:textId="77777777" w:rsidR="005C2B9E" w:rsidRDefault="005C2B9E">
      <w:pPr>
        <w:pStyle w:val="SemEspaamento"/>
        <w:jc w:val="center"/>
        <w:rPr>
          <w:rFonts w:ascii="Times New Roman" w:hAnsi="Times New Roman"/>
          <w:b/>
          <w:sz w:val="24"/>
          <w:lang w:eastAsia="en-US"/>
        </w:rPr>
      </w:pPr>
    </w:p>
    <w:p w14:paraId="346A246B" w14:textId="77777777" w:rsidR="005C2B9E" w:rsidRDefault="005C2B9E">
      <w:pPr>
        <w:pStyle w:val="SemEspaamento"/>
        <w:rPr>
          <w:rFonts w:ascii="Times New Roman" w:hAnsi="Times New Roman"/>
          <w:b/>
          <w:sz w:val="24"/>
          <w:lang w:eastAsia="en-US"/>
        </w:rPr>
      </w:pPr>
    </w:p>
    <w:p w14:paraId="6703E8D9" w14:textId="77777777" w:rsidR="005C2B9E" w:rsidRDefault="005C2B9E">
      <w:pPr>
        <w:pStyle w:val="SemEspaamento"/>
        <w:jc w:val="center"/>
        <w:rPr>
          <w:rFonts w:ascii="Times New Roman" w:hAnsi="Times New Roman"/>
          <w:b/>
          <w:sz w:val="24"/>
          <w:lang w:eastAsia="en-US"/>
        </w:rPr>
      </w:pPr>
    </w:p>
    <w:p w14:paraId="1C08ADB8" w14:textId="77777777" w:rsidR="005C2B9E" w:rsidRDefault="005C2B9E">
      <w:pPr>
        <w:pStyle w:val="SemEspaamento"/>
        <w:jc w:val="center"/>
        <w:rPr>
          <w:rFonts w:ascii="Times New Roman" w:hAnsi="Times New Roman"/>
          <w:b/>
          <w:sz w:val="24"/>
          <w:lang w:eastAsia="en-US"/>
        </w:rPr>
      </w:pPr>
    </w:p>
    <w:p w14:paraId="13FD1A01" w14:textId="77777777" w:rsidR="005C2B9E" w:rsidRDefault="005C2B9E">
      <w:pPr>
        <w:pStyle w:val="SemEspaamento"/>
        <w:jc w:val="center"/>
        <w:rPr>
          <w:rFonts w:ascii="Times New Roman" w:hAnsi="Times New Roman"/>
          <w:b/>
          <w:sz w:val="24"/>
          <w:lang w:eastAsia="en-US"/>
        </w:rPr>
      </w:pPr>
    </w:p>
    <w:p w14:paraId="6FDB47A4" w14:textId="77777777" w:rsidR="005C2B9E" w:rsidRDefault="005C2B9E">
      <w:pPr>
        <w:pStyle w:val="SemEspaamento"/>
        <w:jc w:val="center"/>
        <w:rPr>
          <w:rFonts w:ascii="Times New Roman" w:hAnsi="Times New Roman"/>
          <w:b/>
          <w:sz w:val="24"/>
          <w:lang w:eastAsia="en-US"/>
        </w:rPr>
      </w:pPr>
    </w:p>
    <w:p w14:paraId="4A585005" w14:textId="77777777" w:rsidR="005C2B9E" w:rsidRDefault="00000000">
      <w:pPr>
        <w:pStyle w:val="SemEspaamento"/>
        <w:jc w:val="center"/>
        <w:rPr>
          <w:rFonts w:ascii="Times New Roman" w:hAnsi="Times New Roman"/>
          <w:lang w:eastAsia="en-US"/>
        </w:rPr>
      </w:pPr>
      <w:r>
        <w:rPr>
          <w:rFonts w:ascii="Times New Roman" w:hAnsi="Times New Roman"/>
          <w:b/>
          <w:sz w:val="24"/>
          <w:lang w:eastAsia="en-US"/>
        </w:rPr>
        <w:t>SULAMIKE DE OLIVEIRA PROFETA BASTOS</w:t>
      </w:r>
      <w:r>
        <w:rPr>
          <w:rFonts w:ascii="Times New Roman" w:hAnsi="Times New Roman"/>
          <w:b/>
          <w:sz w:val="24"/>
          <w:lang w:eastAsia="en-US"/>
        </w:rPr>
        <w:br/>
      </w:r>
      <w:r>
        <w:rPr>
          <w:rFonts w:ascii="Times New Roman" w:hAnsi="Times New Roman"/>
          <w:sz w:val="24"/>
          <w:lang w:eastAsia="en-US"/>
        </w:rPr>
        <w:t>Diretora-</w:t>
      </w:r>
      <w:r>
        <w:rPr>
          <w:rFonts w:ascii="Times New Roman" w:hAnsi="Times New Roman"/>
          <w:lang w:eastAsia="en-US"/>
        </w:rPr>
        <w:t>Presidente do Instituto de Previdência</w:t>
      </w:r>
    </w:p>
    <w:p w14:paraId="3902A9F5" w14:textId="77777777" w:rsidR="005C2B9E" w:rsidRDefault="005C2B9E">
      <w:pPr>
        <w:pStyle w:val="SemEspaamento"/>
        <w:jc w:val="center"/>
        <w:rPr>
          <w:rFonts w:ascii="Times New Roman" w:hAnsi="Times New Roman"/>
          <w:lang w:eastAsia="en-US"/>
        </w:rPr>
      </w:pPr>
    </w:p>
    <w:p w14:paraId="363EE330" w14:textId="77777777" w:rsidR="005C2B9E" w:rsidRDefault="005C2B9E">
      <w:pPr>
        <w:pStyle w:val="SemEspaamento"/>
        <w:jc w:val="center"/>
        <w:rPr>
          <w:rFonts w:ascii="Times New Roman" w:hAnsi="Times New Roman"/>
          <w:lang w:eastAsia="en-US"/>
        </w:rPr>
      </w:pPr>
    </w:p>
    <w:p w14:paraId="259E7158" w14:textId="77777777" w:rsidR="005C2B9E" w:rsidRDefault="005C2B9E">
      <w:pPr>
        <w:pStyle w:val="SemEspaamento"/>
        <w:jc w:val="center"/>
        <w:rPr>
          <w:rFonts w:ascii="Times New Roman" w:hAnsi="Times New Roman"/>
          <w:lang w:eastAsia="en-US"/>
        </w:rPr>
      </w:pPr>
    </w:p>
    <w:p w14:paraId="4A6F0CB1" w14:textId="77777777" w:rsidR="005C2B9E" w:rsidRDefault="005C2B9E">
      <w:pPr>
        <w:pStyle w:val="SemEspaamento"/>
        <w:jc w:val="center"/>
        <w:rPr>
          <w:rFonts w:ascii="Times New Roman" w:hAnsi="Times New Roman"/>
          <w:lang w:eastAsia="en-US"/>
        </w:rPr>
      </w:pPr>
    </w:p>
    <w:sectPr w:rsidR="005C2B9E">
      <w:headerReference w:type="even" r:id="rId16"/>
      <w:headerReference w:type="default" r:id="rId17"/>
      <w:footerReference w:type="even" r:id="rId18"/>
      <w:footerReference w:type="default" r:id="rId19"/>
      <w:headerReference w:type="first" r:id="rId20"/>
      <w:footerReference w:type="first" r:id="rId21"/>
      <w:pgSz w:w="11906" w:h="16838"/>
      <w:pgMar w:top="624" w:right="1133" w:bottom="57"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AE17" w14:textId="77777777" w:rsidR="00411EEC" w:rsidRDefault="00411EEC">
      <w:pPr>
        <w:spacing w:after="0" w:line="240" w:lineRule="auto"/>
      </w:pPr>
      <w:r>
        <w:separator/>
      </w:r>
    </w:p>
  </w:endnote>
  <w:endnote w:type="continuationSeparator" w:id="0">
    <w:p w14:paraId="121D4ABA" w14:textId="77777777" w:rsidR="00411EEC" w:rsidRDefault="00411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nt1255">
    <w:panose1 w:val="00000000000000000000"/>
    <w:charset w:val="00"/>
    <w:family w:val="roman"/>
    <w:notTrueType/>
    <w:pitch w:val="default"/>
  </w:font>
  <w:font w:name="font1252">
    <w:panose1 w:val="00000000000000000000"/>
    <w:charset w:val="00"/>
    <w:family w:val="roman"/>
    <w:notTrueType/>
    <w:pitch w:val="default"/>
  </w:font>
  <w:font w:name="Arial Unicode MS">
    <w:panose1 w:val="020B0604020202020204"/>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Bold">
    <w:altName w:val="Calibri"/>
    <w:charset w:val="00"/>
    <w:family w:val="roman"/>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8A04" w14:textId="77777777" w:rsidR="005C2B9E" w:rsidRDefault="005C2B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2C732" w14:textId="77777777" w:rsidR="005C2B9E" w:rsidRDefault="00000000">
    <w:pPr>
      <w:jc w:val="center"/>
      <w:rPr>
        <w:sz w:val="16"/>
        <w:szCs w:val="14"/>
      </w:rPr>
    </w:pPr>
    <w:r>
      <w:rPr>
        <w:sz w:val="16"/>
        <w:szCs w:val="14"/>
      </w:rPr>
      <w:t>Rua Katarina Glazar, 166, bairro Glória, CEP 29780-000 - São Gabriel da Palha, ES | CNPJ 05.251.479/0001-52</w:t>
    </w:r>
    <w:r>
      <w:rPr>
        <w:sz w:val="16"/>
        <w:szCs w:val="14"/>
      </w:rPr>
      <w:br/>
      <w:t>saogabrielprev@gmail.com| 27 3727 1697</w:t>
    </w:r>
  </w:p>
  <w:p w14:paraId="4840AF71" w14:textId="77777777" w:rsidR="005C2B9E" w:rsidRDefault="005C2B9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3CC5" w14:textId="77777777" w:rsidR="005C2B9E" w:rsidRDefault="00000000">
    <w:pPr>
      <w:jc w:val="center"/>
      <w:rPr>
        <w:sz w:val="16"/>
        <w:szCs w:val="14"/>
      </w:rPr>
    </w:pPr>
    <w:r>
      <w:rPr>
        <w:sz w:val="16"/>
        <w:szCs w:val="14"/>
      </w:rPr>
      <w:t>Rua Katarina Glazar, 166, bairro Glória, CEP 29780-000 - São Gabriel da Palha, ES | CNPJ 05.251.479/0001-52</w:t>
    </w:r>
    <w:r>
      <w:rPr>
        <w:sz w:val="16"/>
        <w:szCs w:val="14"/>
      </w:rPr>
      <w:br/>
      <w:t>saogabrielprev@gmail.com| 27 3727 1697</w:t>
    </w:r>
  </w:p>
  <w:p w14:paraId="55431E24" w14:textId="77777777" w:rsidR="005C2B9E" w:rsidRDefault="005C2B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9C25E" w14:textId="77777777" w:rsidR="00411EEC" w:rsidRDefault="00411EEC">
      <w:pPr>
        <w:spacing w:after="0" w:line="240" w:lineRule="auto"/>
      </w:pPr>
      <w:r>
        <w:separator/>
      </w:r>
    </w:p>
  </w:footnote>
  <w:footnote w:type="continuationSeparator" w:id="0">
    <w:p w14:paraId="2BB8B6F9" w14:textId="77777777" w:rsidR="00411EEC" w:rsidRDefault="00411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38B92" w14:textId="77777777" w:rsidR="005C2B9E" w:rsidRDefault="005C2B9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3EA6F" w14:textId="77777777" w:rsidR="005C2B9E" w:rsidRDefault="00000000">
    <w:pPr>
      <w:pStyle w:val="Cabealho"/>
      <w:jc w:val="center"/>
    </w:pPr>
    <w:r>
      <w:rPr>
        <w:noProof/>
      </w:rPr>
      <w:drawing>
        <wp:inline distT="0" distB="0" distL="0" distR="0" wp14:anchorId="595AE0BE" wp14:editId="0E6CAE4C">
          <wp:extent cx="1422400" cy="96393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15" t="-563" r="-515" b="-563"/>
                  <a:stretch>
                    <a:fillRect/>
                  </a:stretch>
                </pic:blipFill>
                <pic:spPr bwMode="auto">
                  <a:xfrm>
                    <a:off x="0" y="0"/>
                    <a:ext cx="1422400" cy="963930"/>
                  </a:xfrm>
                  <a:prstGeom prst="rect">
                    <a:avLst/>
                  </a:prstGeom>
                  <a:noFill/>
                </pic:spPr>
              </pic:pic>
            </a:graphicData>
          </a:graphic>
        </wp:inline>
      </w:drawing>
    </w:r>
  </w:p>
  <w:p w14:paraId="21A5A3B4" w14:textId="77777777" w:rsidR="005C2B9E" w:rsidRDefault="00000000">
    <w:pPr>
      <w:pStyle w:val="Cabealho"/>
      <w:jc w:val="center"/>
      <w:rPr>
        <w:b/>
      </w:rPr>
    </w:pPr>
    <w:r>
      <w:rPr>
        <w:b/>
      </w:rPr>
      <w:t>INSTITUTO DE PREVIDÊNCIA DOS SERVIDORES PÚBLICOS</w:t>
    </w:r>
  </w:p>
  <w:p w14:paraId="6A860223" w14:textId="77777777" w:rsidR="005C2B9E" w:rsidRDefault="00000000">
    <w:pPr>
      <w:pStyle w:val="Cabealho"/>
      <w:jc w:val="center"/>
      <w:rPr>
        <w:b/>
      </w:rPr>
    </w:pPr>
    <w:r>
      <w:rPr>
        <w:b/>
      </w:rPr>
      <w:t>DO MUNICÍPIO DE SÃO GABRIEL DA PALHA</w:t>
    </w:r>
  </w:p>
  <w:p w14:paraId="320CD913" w14:textId="77777777" w:rsidR="005C2B9E" w:rsidRDefault="00000000">
    <w:pPr>
      <w:pStyle w:val="Cabealho"/>
      <w:jc w:val="center"/>
    </w:pPr>
    <w:r>
      <w:t>Estado do Espírito Santo</w:t>
    </w:r>
  </w:p>
  <w:p w14:paraId="31F07802" w14:textId="77777777" w:rsidR="005C2B9E" w:rsidRDefault="005C2B9E">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3EF82" w14:textId="77777777" w:rsidR="005C2B9E" w:rsidRDefault="00000000">
    <w:pPr>
      <w:pStyle w:val="Cabealho"/>
      <w:jc w:val="center"/>
    </w:pPr>
    <w:r>
      <w:rPr>
        <w:noProof/>
      </w:rPr>
      <w:drawing>
        <wp:inline distT="0" distB="0" distL="0" distR="0" wp14:anchorId="7A6741D8" wp14:editId="6655EA10">
          <wp:extent cx="1422400" cy="963930"/>
          <wp:effectExtent l="0" t="0" r="0" b="0"/>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515" t="-563" r="-515" b="-563"/>
                  <a:stretch>
                    <a:fillRect/>
                  </a:stretch>
                </pic:blipFill>
                <pic:spPr bwMode="auto">
                  <a:xfrm>
                    <a:off x="0" y="0"/>
                    <a:ext cx="1422400" cy="963930"/>
                  </a:xfrm>
                  <a:prstGeom prst="rect">
                    <a:avLst/>
                  </a:prstGeom>
                  <a:noFill/>
                </pic:spPr>
              </pic:pic>
            </a:graphicData>
          </a:graphic>
        </wp:inline>
      </w:drawing>
    </w:r>
  </w:p>
  <w:p w14:paraId="4818345B" w14:textId="77777777" w:rsidR="005C2B9E" w:rsidRDefault="00000000">
    <w:pPr>
      <w:pStyle w:val="Cabealho"/>
      <w:jc w:val="center"/>
      <w:rPr>
        <w:b/>
      </w:rPr>
    </w:pPr>
    <w:r>
      <w:rPr>
        <w:b/>
      </w:rPr>
      <w:t>INSTITUTO DE PREVIDÊNCIA DOS SERVIDORES PÚBLICOS</w:t>
    </w:r>
  </w:p>
  <w:p w14:paraId="639D50B6" w14:textId="77777777" w:rsidR="005C2B9E" w:rsidRDefault="00000000">
    <w:pPr>
      <w:pStyle w:val="Cabealho"/>
      <w:jc w:val="center"/>
      <w:rPr>
        <w:b/>
      </w:rPr>
    </w:pPr>
    <w:r>
      <w:rPr>
        <w:b/>
      </w:rPr>
      <w:t>DO MUNICÍPIO DE SÃO GABRIEL DA PALHA</w:t>
    </w:r>
  </w:p>
  <w:p w14:paraId="252E452A" w14:textId="77777777" w:rsidR="005C2B9E" w:rsidRDefault="00000000">
    <w:pPr>
      <w:pStyle w:val="Cabealho"/>
      <w:jc w:val="center"/>
    </w:pPr>
    <w:r>
      <w:t>Estado do Espírito Santo</w:t>
    </w:r>
  </w:p>
  <w:p w14:paraId="7B201713" w14:textId="77777777" w:rsidR="005C2B9E" w:rsidRDefault="005C2B9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D32A9"/>
    <w:multiLevelType w:val="multilevel"/>
    <w:tmpl w:val="87EE392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2DD35EC"/>
    <w:multiLevelType w:val="multilevel"/>
    <w:tmpl w:val="AEC8DD10"/>
    <w:lvl w:ilvl="0">
      <w:start w:val="1"/>
      <w:numFmt w:val="lowerLetter"/>
      <w:pStyle w:val="Ttulo1"/>
      <w:lvlText w:val="%1)"/>
      <w:lvlJc w:val="left"/>
      <w:pPr>
        <w:tabs>
          <w:tab w:val="num" w:pos="780"/>
        </w:tabs>
        <w:ind w:left="780" w:hanging="420"/>
      </w:pPr>
      <w:rPr>
        <w:rFonts w:ascii="Arial Narrow" w:hAnsi="Arial Narrow"/>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9180D16"/>
    <w:multiLevelType w:val="multilevel"/>
    <w:tmpl w:val="634CD33C"/>
    <w:lvl w:ilvl="0">
      <w:start w:val="1"/>
      <w:numFmt w:val="lowerLetter"/>
      <w:pStyle w:val="Nivel2"/>
      <w:lvlText w:val="%1)"/>
      <w:lvlJc w:val="left"/>
      <w:pPr>
        <w:tabs>
          <w:tab w:val="num" w:pos="0"/>
        </w:tabs>
        <w:ind w:left="0" w:firstLine="0"/>
      </w:pPr>
      <w:rPr>
        <w:rFonts w:ascii="Arial Narrow" w:hAnsi="Arial Narrow" w:cs="Times New Roman"/>
        <w:b/>
        <w:i w:val="0"/>
        <w:color w:val="auto"/>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84A4D0F"/>
    <w:multiLevelType w:val="multilevel"/>
    <w:tmpl w:val="E7F2B1E0"/>
    <w:lvl w:ilvl="0">
      <w:start w:val="1"/>
      <w:numFmt w:val="lowerLetter"/>
      <w:pStyle w:val="Nivel3"/>
      <w:lvlText w:val="%1)"/>
      <w:lvlJc w:val="left"/>
      <w:pPr>
        <w:tabs>
          <w:tab w:val="num" w:pos="0"/>
        </w:tabs>
        <w:ind w:left="0" w:firstLine="0"/>
      </w:pPr>
      <w:rPr>
        <w:rFonts w:ascii="Arial Narrow" w:hAnsi="Arial Narrow" w:cs="Times New Roman"/>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AE224EA"/>
    <w:multiLevelType w:val="multilevel"/>
    <w:tmpl w:val="98EE7D58"/>
    <w:lvl w:ilvl="0">
      <w:start w:val="1"/>
      <w:numFmt w:val="decimal"/>
      <w:lvlText w:val="%1"/>
      <w:lvlJc w:val="left"/>
      <w:pPr>
        <w:tabs>
          <w:tab w:val="num" w:pos="0"/>
        </w:tabs>
        <w:ind w:left="390" w:hanging="390"/>
      </w:pPr>
      <w:rPr>
        <w:rFonts w:eastAsiaTheme="minorEastAsia"/>
      </w:rPr>
    </w:lvl>
    <w:lvl w:ilvl="1">
      <w:start w:val="1"/>
      <w:numFmt w:val="decimal"/>
      <w:lvlText w:val="%1.%2"/>
      <w:lvlJc w:val="left"/>
      <w:pPr>
        <w:tabs>
          <w:tab w:val="num" w:pos="0"/>
        </w:tabs>
        <w:ind w:left="390" w:hanging="390"/>
      </w:pPr>
      <w:rPr>
        <w:rFonts w:eastAsiaTheme="minorEastAsia"/>
        <w:b/>
        <w:bCs w:val="0"/>
      </w:rPr>
    </w:lvl>
    <w:lvl w:ilvl="2">
      <w:start w:val="1"/>
      <w:numFmt w:val="decimal"/>
      <w:lvlText w:val="%1.%2.%3"/>
      <w:lvlJc w:val="left"/>
      <w:pPr>
        <w:tabs>
          <w:tab w:val="num" w:pos="0"/>
        </w:tabs>
        <w:ind w:left="720" w:hanging="720"/>
      </w:pPr>
      <w:rPr>
        <w:rFonts w:eastAsiaTheme="minorEastAsia"/>
      </w:rPr>
    </w:lvl>
    <w:lvl w:ilvl="3">
      <w:start w:val="1"/>
      <w:numFmt w:val="decimal"/>
      <w:lvlText w:val="%1.%2.%3.%4"/>
      <w:lvlJc w:val="left"/>
      <w:pPr>
        <w:tabs>
          <w:tab w:val="num" w:pos="0"/>
        </w:tabs>
        <w:ind w:left="720" w:hanging="720"/>
      </w:pPr>
      <w:rPr>
        <w:rFonts w:eastAsiaTheme="minorEastAsia"/>
      </w:rPr>
    </w:lvl>
    <w:lvl w:ilvl="4">
      <w:start w:val="1"/>
      <w:numFmt w:val="decimal"/>
      <w:lvlText w:val="%1.%2.%3.%4.%5"/>
      <w:lvlJc w:val="left"/>
      <w:pPr>
        <w:tabs>
          <w:tab w:val="num" w:pos="0"/>
        </w:tabs>
        <w:ind w:left="1080" w:hanging="1080"/>
      </w:pPr>
      <w:rPr>
        <w:rFonts w:eastAsiaTheme="minorEastAsia"/>
      </w:rPr>
    </w:lvl>
    <w:lvl w:ilvl="5">
      <w:start w:val="1"/>
      <w:numFmt w:val="decimal"/>
      <w:lvlText w:val="%1.%2.%3.%4.%5.%6"/>
      <w:lvlJc w:val="left"/>
      <w:pPr>
        <w:tabs>
          <w:tab w:val="num" w:pos="0"/>
        </w:tabs>
        <w:ind w:left="1080" w:hanging="1080"/>
      </w:pPr>
      <w:rPr>
        <w:rFonts w:eastAsiaTheme="minorEastAsia"/>
      </w:rPr>
    </w:lvl>
    <w:lvl w:ilvl="6">
      <w:start w:val="1"/>
      <w:numFmt w:val="decimal"/>
      <w:lvlText w:val="%1.%2.%3.%4.%5.%6.%7"/>
      <w:lvlJc w:val="left"/>
      <w:pPr>
        <w:tabs>
          <w:tab w:val="num" w:pos="0"/>
        </w:tabs>
        <w:ind w:left="1440" w:hanging="1440"/>
      </w:pPr>
      <w:rPr>
        <w:rFonts w:eastAsiaTheme="minorEastAsia"/>
      </w:rPr>
    </w:lvl>
    <w:lvl w:ilvl="7">
      <w:start w:val="1"/>
      <w:numFmt w:val="decimal"/>
      <w:lvlText w:val="%1.%2.%3.%4.%5.%6.%7.%8"/>
      <w:lvlJc w:val="left"/>
      <w:pPr>
        <w:tabs>
          <w:tab w:val="num" w:pos="0"/>
        </w:tabs>
        <w:ind w:left="1440" w:hanging="1440"/>
      </w:pPr>
      <w:rPr>
        <w:rFonts w:eastAsiaTheme="minorEastAsia"/>
      </w:rPr>
    </w:lvl>
    <w:lvl w:ilvl="8">
      <w:start w:val="1"/>
      <w:numFmt w:val="decimal"/>
      <w:lvlText w:val="%1.%2.%3.%4.%5.%6.%7.%8.%9"/>
      <w:lvlJc w:val="left"/>
      <w:pPr>
        <w:tabs>
          <w:tab w:val="num" w:pos="0"/>
        </w:tabs>
        <w:ind w:left="1800" w:hanging="1800"/>
      </w:pPr>
      <w:rPr>
        <w:rFonts w:eastAsiaTheme="minorEastAsia"/>
      </w:rPr>
    </w:lvl>
  </w:abstractNum>
  <w:num w:numId="1" w16cid:durableId="449520768">
    <w:abstractNumId w:val="1"/>
  </w:num>
  <w:num w:numId="2" w16cid:durableId="1082293419">
    <w:abstractNumId w:val="3"/>
  </w:num>
  <w:num w:numId="3" w16cid:durableId="1435592806">
    <w:abstractNumId w:val="2"/>
  </w:num>
  <w:num w:numId="4" w16cid:durableId="1608466835">
    <w:abstractNumId w:val="4"/>
  </w:num>
  <w:num w:numId="5" w16cid:durableId="1011756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B9E"/>
    <w:rsid w:val="002A45ED"/>
    <w:rsid w:val="00411EEC"/>
    <w:rsid w:val="005C2B9E"/>
    <w:rsid w:val="00785B04"/>
    <w:rsid w:val="00A26F3A"/>
    <w:rsid w:val="00C40AF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5EE9E"/>
  <w15:docId w15:val="{93E879D7-E108-4642-8BC4-D52074EA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qFormat/>
    <w:rsid w:val="00061F14"/>
    <w:pPr>
      <w:keepNext/>
      <w:keepLines/>
      <w:numPr>
        <w:numId w:val="1"/>
      </w:numPr>
      <w:spacing w:before="480" w:after="0"/>
      <w:outlineLvl w:val="0"/>
    </w:pPr>
    <w:rPr>
      <w:rFonts w:eastAsia="MS Gothic"/>
      <w:b/>
      <w:bCs/>
      <w:color w:val="365F91"/>
      <w:sz w:val="28"/>
      <w:szCs w:val="28"/>
      <w:lang w:eastAsia="zh-CN"/>
    </w:rPr>
  </w:style>
  <w:style w:type="paragraph" w:styleId="Ttulo6">
    <w:name w:val="heading 6"/>
    <w:basedOn w:val="Normal"/>
    <w:next w:val="Normal"/>
    <w:link w:val="Ttulo6Char"/>
    <w:qFormat/>
    <w:rsid w:val="00061F14"/>
    <w:pPr>
      <w:overflowPunct w:val="0"/>
      <w:spacing w:before="240" w:after="60" w:line="240" w:lineRule="auto"/>
      <w:textAlignment w:val="baseline"/>
      <w:outlineLvl w:val="5"/>
    </w:pPr>
    <w:rPr>
      <w:rFonts w:ascii="Times New Roman" w:eastAsia="Times New Roman" w:hAnsi="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E675F8"/>
  </w:style>
  <w:style w:type="character" w:customStyle="1" w:styleId="RodapChar">
    <w:name w:val="Rodapé Char"/>
    <w:basedOn w:val="Fontepargpadro"/>
    <w:link w:val="Rodap"/>
    <w:qFormat/>
    <w:rsid w:val="00E675F8"/>
  </w:style>
  <w:style w:type="character" w:customStyle="1" w:styleId="TextodebaloChar">
    <w:name w:val="Texto de balão Char"/>
    <w:link w:val="Textodebalo"/>
    <w:qFormat/>
    <w:rsid w:val="00E675F8"/>
    <w:rPr>
      <w:rFonts w:ascii="Tahoma" w:hAnsi="Tahoma" w:cs="Tahoma"/>
      <w:sz w:val="16"/>
      <w:szCs w:val="16"/>
    </w:rPr>
  </w:style>
  <w:style w:type="character" w:customStyle="1" w:styleId="SemEspaamentoChar">
    <w:name w:val="Sem Espaçamento Char"/>
    <w:link w:val="SemEspaamento"/>
    <w:qFormat/>
    <w:rsid w:val="00E675F8"/>
    <w:rPr>
      <w:rFonts w:eastAsia="Times New Roman"/>
      <w:lang w:eastAsia="pt-BR"/>
    </w:rPr>
  </w:style>
  <w:style w:type="character" w:styleId="Hyperlink">
    <w:name w:val="Hyperlink"/>
    <w:unhideWhenUsed/>
    <w:rsid w:val="003955AF"/>
    <w:rPr>
      <w:color w:val="0563C1"/>
      <w:u w:val="single"/>
    </w:rPr>
  </w:style>
  <w:style w:type="character" w:customStyle="1" w:styleId="TtuloChar">
    <w:name w:val="Título Char"/>
    <w:link w:val="Ttulo"/>
    <w:qFormat/>
    <w:rsid w:val="00FC4C25"/>
    <w:rPr>
      <w:rFonts w:ascii="Times New Roman" w:eastAsia="Times New Roman" w:hAnsi="Times New Roman"/>
      <w:b/>
      <w:bCs/>
      <w:sz w:val="28"/>
      <w:szCs w:val="24"/>
    </w:rPr>
  </w:style>
  <w:style w:type="character" w:customStyle="1" w:styleId="Corpodetexto3Char">
    <w:name w:val="Corpo de texto 3 Char"/>
    <w:basedOn w:val="Fontepargpadro"/>
    <w:link w:val="Corpodetexto3"/>
    <w:qFormat/>
    <w:rsid w:val="00EB667F"/>
    <w:rPr>
      <w:rFonts w:ascii="Arial" w:eastAsia="Times New Roman" w:hAnsi="Arial" w:cs="Arial"/>
      <w:sz w:val="22"/>
      <w:lang w:eastAsia="en-US"/>
    </w:rPr>
  </w:style>
  <w:style w:type="character" w:customStyle="1" w:styleId="Corpodetexto2Char">
    <w:name w:val="Corpo de texto 2 Char"/>
    <w:basedOn w:val="Fontepargpadro"/>
    <w:link w:val="Corpodetexto2"/>
    <w:qFormat/>
    <w:rsid w:val="00EB667F"/>
    <w:rPr>
      <w:rFonts w:ascii="Arial" w:eastAsia="Times New Roman" w:hAnsi="Arial" w:cs="Arial"/>
      <w:b/>
      <w:sz w:val="22"/>
      <w:lang w:eastAsia="en-US"/>
    </w:rPr>
  </w:style>
  <w:style w:type="character" w:customStyle="1" w:styleId="Recuodecorpodetexto3Char">
    <w:name w:val="Recuo de corpo de texto 3 Char"/>
    <w:basedOn w:val="Fontepargpadro"/>
    <w:link w:val="Recuodecorpodetexto3"/>
    <w:qFormat/>
    <w:rsid w:val="00EB667F"/>
    <w:rPr>
      <w:rFonts w:ascii="Times New Roman" w:eastAsia="Times New Roman" w:hAnsi="Times New Roman"/>
      <w:sz w:val="16"/>
      <w:szCs w:val="16"/>
    </w:rPr>
  </w:style>
  <w:style w:type="character" w:customStyle="1" w:styleId="CorpodetextoChar">
    <w:name w:val="Corpo de texto Char"/>
    <w:basedOn w:val="Fontepargpadro"/>
    <w:link w:val="Textbody"/>
    <w:qFormat/>
    <w:rsid w:val="00EB667F"/>
    <w:rPr>
      <w:rFonts w:eastAsia="Times New Roman"/>
      <w:sz w:val="22"/>
      <w:szCs w:val="22"/>
    </w:rPr>
  </w:style>
  <w:style w:type="character" w:customStyle="1" w:styleId="fontstyle01">
    <w:name w:val="fontstyle01"/>
    <w:basedOn w:val="Fontepargpadro"/>
    <w:qFormat/>
    <w:rsid w:val="000E37D0"/>
    <w:rPr>
      <w:rFonts w:ascii="Arial" w:hAnsi="Arial" w:cs="Arial"/>
      <w:b/>
      <w:bCs/>
      <w:i w:val="0"/>
      <w:iCs w:val="0"/>
      <w:color w:val="000000"/>
      <w:sz w:val="24"/>
      <w:szCs w:val="24"/>
    </w:rPr>
  </w:style>
  <w:style w:type="character" w:customStyle="1" w:styleId="fontstyle21">
    <w:name w:val="fontstyle21"/>
    <w:basedOn w:val="Fontepargpadro"/>
    <w:qFormat/>
    <w:rsid w:val="000E37D0"/>
    <w:rPr>
      <w:rFonts w:ascii="Arial" w:hAnsi="Arial" w:cs="Arial"/>
      <w:b w:val="0"/>
      <w:bCs w:val="0"/>
      <w:i w:val="0"/>
      <w:iCs w:val="0"/>
      <w:color w:val="000000"/>
      <w:sz w:val="24"/>
      <w:szCs w:val="24"/>
    </w:rPr>
  </w:style>
  <w:style w:type="character" w:customStyle="1" w:styleId="WW8Num3z1">
    <w:name w:val="WW8Num3z1"/>
    <w:qFormat/>
    <w:rsid w:val="00374FEA"/>
    <w:rPr>
      <w:rFonts w:ascii="Symbol" w:hAnsi="Symbol" w:cs="Symbol"/>
    </w:rPr>
  </w:style>
  <w:style w:type="character" w:styleId="MenoPendente">
    <w:name w:val="Unresolved Mention"/>
    <w:basedOn w:val="Fontepargpadro"/>
    <w:uiPriority w:val="99"/>
    <w:semiHidden/>
    <w:unhideWhenUsed/>
    <w:qFormat/>
    <w:rsid w:val="002C5B82"/>
    <w:rPr>
      <w:color w:val="605E5C"/>
      <w:shd w:val="clear" w:color="auto" w:fill="E1DFDD"/>
    </w:rPr>
  </w:style>
  <w:style w:type="character" w:styleId="Refdecomentrio">
    <w:name w:val="annotation reference"/>
    <w:basedOn w:val="Fontepargpadro"/>
    <w:uiPriority w:val="99"/>
    <w:semiHidden/>
    <w:unhideWhenUsed/>
    <w:qFormat/>
    <w:rsid w:val="00787AE5"/>
    <w:rPr>
      <w:sz w:val="16"/>
      <w:szCs w:val="16"/>
    </w:rPr>
  </w:style>
  <w:style w:type="character" w:customStyle="1" w:styleId="TextodecomentrioChar">
    <w:name w:val="Texto de comentário Char"/>
    <w:basedOn w:val="Fontepargpadro"/>
    <w:link w:val="Textodecomentrio"/>
    <w:qFormat/>
    <w:rsid w:val="00787AE5"/>
    <w:rPr>
      <w:lang w:eastAsia="en-US"/>
    </w:rPr>
  </w:style>
  <w:style w:type="character" w:customStyle="1" w:styleId="AssuntodocomentrioChar">
    <w:name w:val="Assunto do comentário Char"/>
    <w:basedOn w:val="TextodecomentrioChar"/>
    <w:link w:val="Assuntodocomentrio"/>
    <w:qFormat/>
    <w:rsid w:val="00787AE5"/>
    <w:rPr>
      <w:b/>
      <w:bCs/>
      <w:lang w:eastAsia="en-US"/>
    </w:rPr>
  </w:style>
  <w:style w:type="character" w:customStyle="1" w:styleId="Ttulo1Char">
    <w:name w:val="Título 1 Char"/>
    <w:basedOn w:val="Fontepargpadro"/>
    <w:link w:val="Ttulo1"/>
    <w:qFormat/>
    <w:rsid w:val="00061F14"/>
    <w:rPr>
      <w:rFonts w:eastAsia="MS Gothic"/>
      <w:b/>
      <w:bCs/>
      <w:color w:val="365F91"/>
      <w:sz w:val="28"/>
      <w:szCs w:val="28"/>
      <w:lang w:eastAsia="zh-CN"/>
    </w:rPr>
  </w:style>
  <w:style w:type="character" w:customStyle="1" w:styleId="WW8Num3z0">
    <w:name w:val="WW8Num3z0"/>
    <w:qFormat/>
    <w:rsid w:val="00061F14"/>
    <w:rPr>
      <w:b/>
    </w:rPr>
  </w:style>
  <w:style w:type="character" w:customStyle="1" w:styleId="WW8Num3z2">
    <w:name w:val="WW8Num3z2"/>
    <w:qFormat/>
    <w:rsid w:val="00061F14"/>
    <w:rPr>
      <w:b w:val="0"/>
      <w:i w:val="0"/>
      <w:strike w:val="0"/>
      <w:dstrike w:val="0"/>
      <w:color w:val="auto"/>
      <w:sz w:val="20"/>
      <w:szCs w:val="20"/>
    </w:rPr>
  </w:style>
  <w:style w:type="character" w:customStyle="1" w:styleId="WW8Num4z0">
    <w:name w:val="WW8Num4z0"/>
    <w:qFormat/>
    <w:rsid w:val="00061F14"/>
    <w:rPr>
      <w:rFonts w:ascii="Symbol" w:hAnsi="Symbol" w:cs="Symbol"/>
      <w:lang w:val="pt-PT" w:eastAsia="en-US" w:bidi="ar-SA"/>
    </w:rPr>
  </w:style>
  <w:style w:type="character" w:customStyle="1" w:styleId="WW8Num4z1">
    <w:name w:val="WW8Num4z1"/>
    <w:qFormat/>
    <w:rsid w:val="00061F14"/>
    <w:rPr>
      <w:rFonts w:ascii="OpenSymbol" w:hAnsi="OpenSymbol" w:cs="OpenSymbol"/>
      <w:lang w:val="pt-PT" w:eastAsia="en-US" w:bidi="ar-SA"/>
    </w:rPr>
  </w:style>
  <w:style w:type="character" w:customStyle="1" w:styleId="WW8Num4z3">
    <w:name w:val="WW8Num4z3"/>
    <w:qFormat/>
    <w:rsid w:val="00061F14"/>
    <w:rPr>
      <w:rFonts w:ascii="Symbol" w:hAnsi="Symbol" w:cs="Symbol"/>
    </w:rPr>
  </w:style>
  <w:style w:type="character" w:customStyle="1" w:styleId="WW8Num4z4">
    <w:name w:val="WW8Num4z4"/>
    <w:qFormat/>
    <w:rsid w:val="00061F14"/>
    <w:rPr>
      <w:rFonts w:ascii="OpenSymbol" w:hAnsi="OpenSymbol" w:cs="OpenSymbol"/>
    </w:rPr>
  </w:style>
  <w:style w:type="character" w:customStyle="1" w:styleId="WW8Num4z7">
    <w:name w:val="WW8Num4z7"/>
    <w:qFormat/>
    <w:rsid w:val="00061F14"/>
    <w:rPr>
      <w:rFonts w:ascii="OpenSymbol" w:hAnsi="OpenSymbol" w:cs="OpenSymbol"/>
      <w:b/>
    </w:rPr>
  </w:style>
  <w:style w:type="character" w:customStyle="1" w:styleId="WW8Num4z8">
    <w:name w:val="WW8Num4z8"/>
    <w:qFormat/>
    <w:rsid w:val="00061F14"/>
    <w:rPr>
      <w:rFonts w:ascii="OpenSymbol" w:hAnsi="OpenSymbol" w:cs="OpenSymbol"/>
      <w:b/>
      <w:i w:val="0"/>
      <w:strike w:val="0"/>
      <w:dstrike w:val="0"/>
      <w:color w:val="auto"/>
      <w:sz w:val="24"/>
      <w:szCs w:val="20"/>
      <w:u w:val="none"/>
    </w:rPr>
  </w:style>
  <w:style w:type="character" w:customStyle="1" w:styleId="WW8Num5z0">
    <w:name w:val="WW8Num5z0"/>
    <w:qFormat/>
    <w:rsid w:val="00061F14"/>
    <w:rPr>
      <w:rFonts w:ascii="Symbol" w:hAnsi="Symbol" w:cs="Symbol"/>
      <w:b w:val="0"/>
      <w:i w:val="0"/>
      <w:strike w:val="0"/>
      <w:dstrike w:val="0"/>
      <w:color w:val="auto"/>
      <w:sz w:val="20"/>
      <w:szCs w:val="20"/>
    </w:rPr>
  </w:style>
  <w:style w:type="character" w:customStyle="1" w:styleId="WW8Num5z1">
    <w:name w:val="WW8Num5z1"/>
    <w:qFormat/>
    <w:rsid w:val="00061F14"/>
    <w:rPr>
      <w:rFonts w:ascii="OpenSymbol" w:hAnsi="OpenSymbol" w:cs="OpenSymbol"/>
    </w:rPr>
  </w:style>
  <w:style w:type="character" w:customStyle="1" w:styleId="WW8Num5z3">
    <w:name w:val="WW8Num5z3"/>
    <w:qFormat/>
    <w:rsid w:val="00061F14"/>
    <w:rPr>
      <w:rFonts w:ascii="Symbol" w:hAnsi="Symbol" w:cs="Symbol"/>
    </w:rPr>
  </w:style>
  <w:style w:type="character" w:customStyle="1" w:styleId="WW8Num5z4">
    <w:name w:val="WW8Num5z4"/>
    <w:qFormat/>
    <w:rsid w:val="00061F14"/>
    <w:rPr>
      <w:rFonts w:ascii="OpenSymbol" w:hAnsi="OpenSymbol" w:cs="OpenSymbol"/>
      <w:b/>
    </w:rPr>
  </w:style>
  <w:style w:type="character" w:customStyle="1" w:styleId="WW8Num5z5">
    <w:name w:val="WW8Num5z5"/>
    <w:qFormat/>
    <w:rsid w:val="00061F14"/>
    <w:rPr>
      <w:rFonts w:ascii="OpenSymbol" w:hAnsi="OpenSymbol" w:cs="OpenSymbol"/>
      <w:b w:val="0"/>
      <w:i w:val="0"/>
      <w:strike w:val="0"/>
      <w:dstrike w:val="0"/>
      <w:color w:val="auto"/>
      <w:sz w:val="20"/>
      <w:szCs w:val="20"/>
      <w:u w:val="none"/>
    </w:rPr>
  </w:style>
  <w:style w:type="character" w:customStyle="1" w:styleId="WW8Num6z0">
    <w:name w:val="WW8Num6z0"/>
    <w:qFormat/>
    <w:rsid w:val="00061F14"/>
    <w:rPr>
      <w:rFonts w:ascii="Symbol" w:hAnsi="Symbol" w:cs="Symbol"/>
    </w:rPr>
  </w:style>
  <w:style w:type="character" w:customStyle="1" w:styleId="WW8Num6z1">
    <w:name w:val="WW8Num6z1"/>
    <w:qFormat/>
    <w:rsid w:val="00061F14"/>
    <w:rPr>
      <w:rFonts w:ascii="OpenSymbol" w:hAnsi="OpenSymbol" w:cs="OpenSymbol"/>
    </w:rPr>
  </w:style>
  <w:style w:type="character" w:customStyle="1" w:styleId="WW8Num7z0">
    <w:name w:val="WW8Num7z0"/>
    <w:qFormat/>
    <w:rsid w:val="00061F14"/>
    <w:rPr>
      <w:rFonts w:ascii="Symbol" w:hAnsi="Symbol" w:cs="Symbol"/>
    </w:rPr>
  </w:style>
  <w:style w:type="character" w:customStyle="1" w:styleId="WW8Num7z1">
    <w:name w:val="WW8Num7z1"/>
    <w:qFormat/>
    <w:rsid w:val="00061F14"/>
    <w:rPr>
      <w:rFonts w:ascii="OpenSymbol" w:hAnsi="OpenSymbol" w:cs="OpenSymbol"/>
    </w:rPr>
  </w:style>
  <w:style w:type="character" w:customStyle="1" w:styleId="Fontepargpadro4">
    <w:name w:val="Fonte parág. padrão4"/>
    <w:qFormat/>
    <w:rsid w:val="00061F14"/>
  </w:style>
  <w:style w:type="character" w:customStyle="1" w:styleId="WW8Num1z0">
    <w:name w:val="WW8Num1z0"/>
    <w:qFormat/>
    <w:rsid w:val="00061F14"/>
  </w:style>
  <w:style w:type="character" w:customStyle="1" w:styleId="WW8Num1z1">
    <w:name w:val="WW8Num1z1"/>
    <w:qFormat/>
    <w:rsid w:val="00061F14"/>
  </w:style>
  <w:style w:type="character" w:customStyle="1" w:styleId="WW8Num1z2">
    <w:name w:val="WW8Num1z2"/>
    <w:qFormat/>
    <w:rsid w:val="00061F14"/>
  </w:style>
  <w:style w:type="character" w:customStyle="1" w:styleId="WW8Num1z3">
    <w:name w:val="WW8Num1z3"/>
    <w:qFormat/>
    <w:rsid w:val="00061F14"/>
  </w:style>
  <w:style w:type="character" w:customStyle="1" w:styleId="WW8Num1z4">
    <w:name w:val="WW8Num1z4"/>
    <w:qFormat/>
    <w:rsid w:val="00061F14"/>
  </w:style>
  <w:style w:type="character" w:customStyle="1" w:styleId="WW8Num1z5">
    <w:name w:val="WW8Num1z5"/>
    <w:qFormat/>
    <w:rsid w:val="00061F14"/>
  </w:style>
  <w:style w:type="character" w:customStyle="1" w:styleId="WW8Num1z6">
    <w:name w:val="WW8Num1z6"/>
    <w:qFormat/>
    <w:rsid w:val="00061F14"/>
  </w:style>
  <w:style w:type="character" w:customStyle="1" w:styleId="WW8Num1z7">
    <w:name w:val="WW8Num1z7"/>
    <w:qFormat/>
    <w:rsid w:val="00061F14"/>
  </w:style>
  <w:style w:type="character" w:customStyle="1" w:styleId="WW8Num1z8">
    <w:name w:val="WW8Num1z8"/>
    <w:qFormat/>
    <w:rsid w:val="00061F14"/>
  </w:style>
  <w:style w:type="character" w:customStyle="1" w:styleId="WW8Num2z0">
    <w:name w:val="WW8Num2z0"/>
    <w:qFormat/>
    <w:rsid w:val="00061F14"/>
  </w:style>
  <w:style w:type="character" w:customStyle="1" w:styleId="WW8Num2z1">
    <w:name w:val="WW8Num2z1"/>
    <w:qFormat/>
    <w:rsid w:val="00061F14"/>
  </w:style>
  <w:style w:type="character" w:customStyle="1" w:styleId="WW8Num2z2">
    <w:name w:val="WW8Num2z2"/>
    <w:qFormat/>
    <w:rsid w:val="00061F14"/>
  </w:style>
  <w:style w:type="character" w:customStyle="1" w:styleId="WW8Num2z3">
    <w:name w:val="WW8Num2z3"/>
    <w:qFormat/>
    <w:rsid w:val="00061F14"/>
  </w:style>
  <w:style w:type="character" w:customStyle="1" w:styleId="WW8Num2z4">
    <w:name w:val="WW8Num2z4"/>
    <w:qFormat/>
    <w:rsid w:val="00061F14"/>
  </w:style>
  <w:style w:type="character" w:customStyle="1" w:styleId="WW8Num2z5">
    <w:name w:val="WW8Num2z5"/>
    <w:qFormat/>
    <w:rsid w:val="00061F14"/>
  </w:style>
  <w:style w:type="character" w:customStyle="1" w:styleId="WW8Num2z6">
    <w:name w:val="WW8Num2z6"/>
    <w:qFormat/>
    <w:rsid w:val="00061F14"/>
  </w:style>
  <w:style w:type="character" w:customStyle="1" w:styleId="WW8Num2z7">
    <w:name w:val="WW8Num2z7"/>
    <w:qFormat/>
    <w:rsid w:val="00061F14"/>
  </w:style>
  <w:style w:type="character" w:customStyle="1" w:styleId="WW8Num2z8">
    <w:name w:val="WW8Num2z8"/>
    <w:qFormat/>
    <w:rsid w:val="00061F14"/>
  </w:style>
  <w:style w:type="character" w:customStyle="1" w:styleId="WW8Num3z3">
    <w:name w:val="WW8Num3z3"/>
    <w:qFormat/>
    <w:rsid w:val="00061F14"/>
  </w:style>
  <w:style w:type="character" w:customStyle="1" w:styleId="WW8Num3z4">
    <w:name w:val="WW8Num3z4"/>
    <w:qFormat/>
    <w:rsid w:val="00061F14"/>
  </w:style>
  <w:style w:type="character" w:customStyle="1" w:styleId="WW8Num3z5">
    <w:name w:val="WW8Num3z5"/>
    <w:qFormat/>
    <w:rsid w:val="00061F14"/>
  </w:style>
  <w:style w:type="character" w:customStyle="1" w:styleId="WW8Num3z6">
    <w:name w:val="WW8Num3z6"/>
    <w:qFormat/>
    <w:rsid w:val="00061F14"/>
  </w:style>
  <w:style w:type="character" w:customStyle="1" w:styleId="WW8Num3z7">
    <w:name w:val="WW8Num3z7"/>
    <w:qFormat/>
    <w:rsid w:val="00061F14"/>
  </w:style>
  <w:style w:type="character" w:customStyle="1" w:styleId="WW8Num3z8">
    <w:name w:val="WW8Num3z8"/>
    <w:qFormat/>
    <w:rsid w:val="00061F14"/>
  </w:style>
  <w:style w:type="character" w:customStyle="1" w:styleId="WW8Num4z2">
    <w:name w:val="WW8Num4z2"/>
    <w:qFormat/>
    <w:rsid w:val="00061F14"/>
  </w:style>
  <w:style w:type="character" w:customStyle="1" w:styleId="WW8Num4z5">
    <w:name w:val="WW8Num4z5"/>
    <w:qFormat/>
    <w:rsid w:val="00061F14"/>
  </w:style>
  <w:style w:type="character" w:customStyle="1" w:styleId="WW8Num4z6">
    <w:name w:val="WW8Num4z6"/>
    <w:qFormat/>
    <w:rsid w:val="00061F14"/>
  </w:style>
  <w:style w:type="character" w:customStyle="1" w:styleId="Fontepargpadro3">
    <w:name w:val="Fonte parág. padrão3"/>
    <w:qFormat/>
    <w:rsid w:val="00061F14"/>
  </w:style>
  <w:style w:type="character" w:customStyle="1" w:styleId="WW8Num5z2">
    <w:name w:val="WW8Num5z2"/>
    <w:qFormat/>
    <w:rsid w:val="00061F14"/>
  </w:style>
  <w:style w:type="character" w:customStyle="1" w:styleId="WW8Num5z6">
    <w:name w:val="WW8Num5z6"/>
    <w:qFormat/>
    <w:rsid w:val="00061F14"/>
  </w:style>
  <w:style w:type="character" w:customStyle="1" w:styleId="WW8Num5z7">
    <w:name w:val="WW8Num5z7"/>
    <w:qFormat/>
    <w:rsid w:val="00061F14"/>
  </w:style>
  <w:style w:type="character" w:customStyle="1" w:styleId="WW8Num5z8">
    <w:name w:val="WW8Num5z8"/>
    <w:qFormat/>
    <w:rsid w:val="00061F14"/>
  </w:style>
  <w:style w:type="character" w:customStyle="1" w:styleId="WW8Num7z2">
    <w:name w:val="WW8Num7z2"/>
    <w:qFormat/>
    <w:rsid w:val="00061F14"/>
    <w:rPr>
      <w:b w:val="0"/>
      <w:i w:val="0"/>
      <w:strike w:val="0"/>
      <w:dstrike w:val="0"/>
      <w:color w:val="000000"/>
      <w:sz w:val="20"/>
      <w:szCs w:val="20"/>
    </w:rPr>
  </w:style>
  <w:style w:type="character" w:customStyle="1" w:styleId="WW8Num7z3">
    <w:name w:val="WW8Num7z3"/>
    <w:qFormat/>
    <w:rsid w:val="00061F14"/>
  </w:style>
  <w:style w:type="character" w:customStyle="1" w:styleId="WW8Num7z4">
    <w:name w:val="WW8Num7z4"/>
    <w:qFormat/>
    <w:rsid w:val="00061F14"/>
  </w:style>
  <w:style w:type="character" w:customStyle="1" w:styleId="WW8Num7z5">
    <w:name w:val="WW8Num7z5"/>
    <w:qFormat/>
    <w:rsid w:val="00061F14"/>
  </w:style>
  <w:style w:type="character" w:customStyle="1" w:styleId="WW8Num7z6">
    <w:name w:val="WW8Num7z6"/>
    <w:qFormat/>
    <w:rsid w:val="00061F14"/>
  </w:style>
  <w:style w:type="character" w:customStyle="1" w:styleId="WW8Num7z7">
    <w:name w:val="WW8Num7z7"/>
    <w:qFormat/>
    <w:rsid w:val="00061F14"/>
  </w:style>
  <w:style w:type="character" w:customStyle="1" w:styleId="WW8Num7z8">
    <w:name w:val="WW8Num7z8"/>
    <w:qFormat/>
    <w:rsid w:val="00061F14"/>
  </w:style>
  <w:style w:type="character" w:customStyle="1" w:styleId="WW8NumSt7z0">
    <w:name w:val="WW8NumSt7z0"/>
    <w:qFormat/>
    <w:rsid w:val="00061F14"/>
    <w:rPr>
      <w:b/>
      <w:i w:val="0"/>
      <w:strike w:val="0"/>
      <w:dstrike w:val="0"/>
      <w:color w:val="000000"/>
      <w:sz w:val="24"/>
      <w:szCs w:val="20"/>
      <w:u w:val="none"/>
    </w:rPr>
  </w:style>
  <w:style w:type="character" w:customStyle="1" w:styleId="WW8NumSt8z0">
    <w:name w:val="WW8NumSt8z0"/>
    <w:qFormat/>
    <w:rsid w:val="00061F14"/>
    <w:rPr>
      <w:b/>
      <w:i w:val="0"/>
      <w:strike w:val="0"/>
      <w:dstrike w:val="0"/>
      <w:color w:val="000000"/>
      <w:sz w:val="24"/>
      <w:szCs w:val="20"/>
      <w:u w:val="none"/>
    </w:rPr>
  </w:style>
  <w:style w:type="character" w:customStyle="1" w:styleId="WW8NumSt9z0">
    <w:name w:val="WW8NumSt9z0"/>
    <w:qFormat/>
    <w:rsid w:val="00061F14"/>
    <w:rPr>
      <w:b/>
      <w:i w:val="0"/>
      <w:strike w:val="0"/>
      <w:dstrike w:val="0"/>
      <w:color w:val="000000"/>
      <w:sz w:val="24"/>
      <w:szCs w:val="20"/>
      <w:u w:val="none"/>
    </w:rPr>
  </w:style>
  <w:style w:type="character" w:customStyle="1" w:styleId="WW8NumSt10z0">
    <w:name w:val="WW8NumSt10z0"/>
    <w:qFormat/>
    <w:rsid w:val="00061F14"/>
    <w:rPr>
      <w:b/>
      <w:i w:val="0"/>
      <w:strike w:val="0"/>
      <w:dstrike w:val="0"/>
      <w:color w:val="000000"/>
      <w:sz w:val="24"/>
      <w:szCs w:val="20"/>
      <w:u w:val="none"/>
    </w:rPr>
  </w:style>
  <w:style w:type="character" w:customStyle="1" w:styleId="WW8NumSt11z0">
    <w:name w:val="WW8NumSt11z0"/>
    <w:qFormat/>
    <w:rsid w:val="00061F14"/>
    <w:rPr>
      <w:b/>
      <w:i w:val="0"/>
      <w:strike w:val="0"/>
      <w:dstrike w:val="0"/>
      <w:color w:val="000000"/>
      <w:sz w:val="24"/>
      <w:szCs w:val="20"/>
      <w:u w:val="none"/>
    </w:rPr>
  </w:style>
  <w:style w:type="character" w:customStyle="1" w:styleId="WW8NumSt12z0">
    <w:name w:val="WW8NumSt12z0"/>
    <w:qFormat/>
    <w:rsid w:val="00061F14"/>
    <w:rPr>
      <w:b/>
      <w:i w:val="0"/>
      <w:strike w:val="0"/>
      <w:dstrike w:val="0"/>
      <w:color w:val="000000"/>
      <w:sz w:val="24"/>
      <w:szCs w:val="20"/>
      <w:u w:val="none"/>
    </w:rPr>
  </w:style>
  <w:style w:type="character" w:customStyle="1" w:styleId="WW8NumSt13z0">
    <w:name w:val="WW8NumSt13z0"/>
    <w:qFormat/>
    <w:rsid w:val="00061F14"/>
    <w:rPr>
      <w:b/>
      <w:i w:val="0"/>
      <w:strike w:val="0"/>
      <w:dstrike w:val="0"/>
      <w:color w:val="000000"/>
      <w:sz w:val="24"/>
      <w:szCs w:val="20"/>
      <w:u w:val="none"/>
    </w:rPr>
  </w:style>
  <w:style w:type="character" w:customStyle="1" w:styleId="WW8NumSt14z0">
    <w:name w:val="WW8NumSt14z0"/>
    <w:qFormat/>
    <w:rsid w:val="00061F14"/>
    <w:rPr>
      <w:b/>
      <w:i w:val="0"/>
      <w:strike w:val="0"/>
      <w:dstrike w:val="0"/>
      <w:color w:val="000000"/>
      <w:sz w:val="24"/>
      <w:szCs w:val="20"/>
      <w:u w:val="none"/>
    </w:rPr>
  </w:style>
  <w:style w:type="character" w:customStyle="1" w:styleId="WW8NumSt15z0">
    <w:name w:val="WW8NumSt15z0"/>
    <w:qFormat/>
    <w:rsid w:val="00061F14"/>
    <w:rPr>
      <w:b/>
      <w:i w:val="0"/>
      <w:strike w:val="0"/>
      <w:dstrike w:val="0"/>
      <w:color w:val="000000"/>
      <w:sz w:val="24"/>
      <w:szCs w:val="20"/>
      <w:u w:val="none"/>
    </w:rPr>
  </w:style>
  <w:style w:type="character" w:customStyle="1" w:styleId="Fontepargpadro2">
    <w:name w:val="Fonte parág. padrão2"/>
    <w:qFormat/>
    <w:rsid w:val="00061F14"/>
  </w:style>
  <w:style w:type="character" w:customStyle="1" w:styleId="Fontepargpadro1">
    <w:name w:val="Fonte parág. padrão1"/>
    <w:qFormat/>
    <w:rsid w:val="00061F14"/>
  </w:style>
  <w:style w:type="character" w:customStyle="1" w:styleId="Fontepargpadro5">
    <w:name w:val="Fonte parág. padrão5"/>
    <w:qFormat/>
    <w:rsid w:val="00061F14"/>
  </w:style>
  <w:style w:type="character" w:styleId="HiperlinkVisitado">
    <w:name w:val="FollowedHyperlink"/>
    <w:rsid w:val="00061F14"/>
    <w:rPr>
      <w:color w:val="800080"/>
      <w:u w:val="single"/>
    </w:rPr>
  </w:style>
  <w:style w:type="character" w:customStyle="1" w:styleId="Nivel2Char">
    <w:name w:val="Nivel 2 Char"/>
    <w:qFormat/>
    <w:rsid w:val="00061F14"/>
    <w:rPr>
      <w:rFonts w:ascii="Arial" w:eastAsia="Arial" w:hAnsi="Arial" w:cs="Arial"/>
      <w:color w:val="000000"/>
      <w:lang w:eastAsia="zh-CN"/>
    </w:rPr>
  </w:style>
  <w:style w:type="character" w:customStyle="1" w:styleId="Refdecomentrio1">
    <w:name w:val="Ref. de comentário1"/>
    <w:qFormat/>
    <w:rsid w:val="00061F14"/>
    <w:rPr>
      <w:sz w:val="16"/>
      <w:szCs w:val="16"/>
    </w:rPr>
  </w:style>
  <w:style w:type="character" w:customStyle="1" w:styleId="Refdecomentrio2">
    <w:name w:val="Ref. de comentário2"/>
    <w:qFormat/>
    <w:rsid w:val="00061F14"/>
    <w:rPr>
      <w:sz w:val="16"/>
      <w:szCs w:val="16"/>
    </w:rPr>
  </w:style>
  <w:style w:type="character" w:customStyle="1" w:styleId="TextodecomentrioChar1">
    <w:name w:val="Texto de comentário Char1"/>
    <w:qFormat/>
    <w:rsid w:val="00061F14"/>
    <w:rPr>
      <w:rFonts w:ascii="Calibri" w:eastAsia="Calibri" w:hAnsi="Calibri" w:cs="Calibri"/>
      <w:lang w:eastAsia="zh-CN"/>
    </w:rPr>
  </w:style>
  <w:style w:type="character" w:customStyle="1" w:styleId="Refdecomentrio3">
    <w:name w:val="Ref. de comentário3"/>
    <w:qFormat/>
    <w:rsid w:val="00061F14"/>
    <w:rPr>
      <w:sz w:val="16"/>
      <w:szCs w:val="16"/>
    </w:rPr>
  </w:style>
  <w:style w:type="character" w:customStyle="1" w:styleId="TextodecomentrioChar2">
    <w:name w:val="Texto de comentário Char2"/>
    <w:qFormat/>
    <w:rsid w:val="00061F14"/>
    <w:rPr>
      <w:rFonts w:ascii="Calibri" w:eastAsia="Calibri" w:hAnsi="Calibri" w:cs="Calibri"/>
      <w:lang w:eastAsia="zh-CN"/>
    </w:rPr>
  </w:style>
  <w:style w:type="character" w:customStyle="1" w:styleId="Ttulo6Char">
    <w:name w:val="Título 6 Char"/>
    <w:basedOn w:val="Fontepargpadro"/>
    <w:link w:val="Ttulo6"/>
    <w:qFormat/>
    <w:rsid w:val="00061F14"/>
    <w:rPr>
      <w:rFonts w:ascii="Times New Roman" w:eastAsia="Times New Roman" w:hAnsi="Times New Roman"/>
      <w:b/>
      <w:bCs/>
      <w:sz w:val="22"/>
      <w:szCs w:val="22"/>
    </w:rPr>
  </w:style>
  <w:style w:type="character" w:customStyle="1" w:styleId="apple-converted-space">
    <w:name w:val="apple-converted-space"/>
    <w:qFormat/>
    <w:rsid w:val="00061F14"/>
  </w:style>
  <w:style w:type="character" w:customStyle="1" w:styleId="Character20style">
    <w:name w:val="Character_20_style"/>
    <w:qFormat/>
    <w:rsid w:val="00061F14"/>
  </w:style>
  <w:style w:type="character" w:customStyle="1" w:styleId="RecuodecorpodetextoChar">
    <w:name w:val="Recuo de corpo de texto Char"/>
    <w:basedOn w:val="Fontepargpadro"/>
    <w:link w:val="Recuodecorpodetexto"/>
    <w:qFormat/>
    <w:rsid w:val="00061F14"/>
    <w:rPr>
      <w:rFonts w:ascii="Times New Roman" w:eastAsia="Times New Roman" w:hAnsi="Times New Roman"/>
      <w:sz w:val="28"/>
    </w:rPr>
  </w:style>
  <w:style w:type="character" w:customStyle="1" w:styleId="Ttulo2Char">
    <w:name w:val="Título 2 Char"/>
    <w:qFormat/>
    <w:rsid w:val="00061F14"/>
    <w:rPr>
      <w:rFonts w:ascii="Times New Roman" w:eastAsia="Times New Roman" w:hAnsi="Times New Roman" w:cs="Times New Roman"/>
      <w:color w:val="000000"/>
      <w:sz w:val="36"/>
    </w:rPr>
  </w:style>
  <w:style w:type="character" w:customStyle="1" w:styleId="Marcadores">
    <w:name w:val="Marcadores"/>
    <w:qFormat/>
    <w:rsid w:val="00061F14"/>
    <w:rPr>
      <w:rFonts w:ascii="OpenSymbol" w:eastAsia="OpenSymbol" w:hAnsi="OpenSymbol" w:cs="OpenSymbol"/>
    </w:rPr>
  </w:style>
  <w:style w:type="character" w:customStyle="1" w:styleId="Smbolosdenumerao">
    <w:name w:val="Símbolos de numeração"/>
    <w:qFormat/>
    <w:rsid w:val="00061F14"/>
  </w:style>
  <w:style w:type="character" w:customStyle="1" w:styleId="RecuodecorpodetextoChar1">
    <w:name w:val="Recuo de corpo de texto Char1"/>
    <w:basedOn w:val="Fontepargpadro"/>
    <w:uiPriority w:val="99"/>
    <w:semiHidden/>
    <w:qFormat/>
    <w:rsid w:val="00061F14"/>
    <w:rPr>
      <w:sz w:val="22"/>
      <w:szCs w:val="22"/>
      <w:lang w:eastAsia="en-US"/>
    </w:rPr>
  </w:style>
  <w:style w:type="paragraph" w:styleId="Ttulo">
    <w:name w:val="Title"/>
    <w:basedOn w:val="Normal"/>
    <w:next w:val="Corpodetexto"/>
    <w:link w:val="TtuloChar"/>
    <w:uiPriority w:val="10"/>
    <w:qFormat/>
    <w:rsid w:val="00FC4C25"/>
    <w:pPr>
      <w:spacing w:after="0" w:line="240" w:lineRule="auto"/>
      <w:jc w:val="center"/>
    </w:pPr>
    <w:rPr>
      <w:rFonts w:ascii="Times New Roman" w:eastAsia="Times New Roman" w:hAnsi="Times New Roman"/>
      <w:b/>
      <w:bCs/>
      <w:sz w:val="28"/>
      <w:szCs w:val="24"/>
      <w:lang w:eastAsia="pt-BR"/>
    </w:rPr>
  </w:style>
  <w:style w:type="paragraph" w:styleId="Corpodetexto">
    <w:name w:val="Body Text"/>
    <w:basedOn w:val="Normal"/>
    <w:unhideWhenUsed/>
    <w:rsid w:val="00EB667F"/>
    <w:pPr>
      <w:spacing w:after="120"/>
    </w:pPr>
    <w:rPr>
      <w:rFonts w:eastAsia="Times New Roman"/>
      <w:lang w:eastAsia="pt-BR"/>
    </w:rPr>
  </w:style>
  <w:style w:type="paragraph" w:styleId="Lista">
    <w:name w:val="List"/>
    <w:basedOn w:val="Corpodetexto"/>
    <w:rsid w:val="00061F14"/>
    <w:pPr>
      <w:spacing w:after="140"/>
    </w:pPr>
    <w:rPr>
      <w:rFonts w:eastAsia="Calibri" w:cs="Arial"/>
      <w:lang w:eastAsia="zh-CN"/>
    </w:rPr>
  </w:style>
  <w:style w:type="paragraph" w:styleId="Legenda">
    <w:name w:val="caption"/>
    <w:basedOn w:val="Normal"/>
    <w:qFormat/>
    <w:rsid w:val="00061F14"/>
    <w:pPr>
      <w:suppressLineNumbers/>
      <w:spacing w:before="120" w:after="120"/>
    </w:pPr>
    <w:rPr>
      <w:rFonts w:ascii="Arial" w:hAnsi="Arial" w:cs="Arial"/>
      <w:i/>
      <w:iCs/>
      <w:sz w:val="24"/>
      <w:szCs w:val="24"/>
      <w:lang w:eastAsia="zh-CN"/>
    </w:rPr>
  </w:style>
  <w:style w:type="paragraph" w:customStyle="1" w:styleId="ndice">
    <w:name w:val="Índice"/>
    <w:basedOn w:val="Normal"/>
    <w:qFormat/>
    <w:rsid w:val="00061F14"/>
    <w:pPr>
      <w:suppressLineNumbers/>
    </w:pPr>
    <w:rPr>
      <w:rFonts w:cs="Arial"/>
      <w:lang w:eastAsia="zh-CN"/>
    </w:rPr>
  </w:style>
  <w:style w:type="paragraph" w:customStyle="1" w:styleId="Ttulouser">
    <w:name w:val="Título (user)"/>
    <w:basedOn w:val="Normal"/>
    <w:next w:val="Corpodetexto"/>
    <w:qFormat/>
    <w:pPr>
      <w:keepNext/>
      <w:spacing w:before="240" w:after="120"/>
    </w:pPr>
    <w:rPr>
      <w:rFonts w:ascii="Liberation Sans" w:eastAsia="Microsoft YaHei" w:hAnsi="Liberation Sans" w:cs="Arial"/>
      <w:sz w:val="28"/>
      <w:szCs w:val="28"/>
    </w:rPr>
  </w:style>
  <w:style w:type="paragraph" w:customStyle="1" w:styleId="ndiceuser">
    <w:name w:val="Índice (user)"/>
    <w:basedOn w:val="Normal"/>
    <w:qFormat/>
    <w:pPr>
      <w:suppressLineNumbers/>
    </w:pPr>
    <w:rPr>
      <w:rFonts w:cs="Arial"/>
    </w:rPr>
  </w:style>
  <w:style w:type="paragraph" w:customStyle="1" w:styleId="CabealhoeRodap">
    <w:name w:val="Cabeçalho e Rodapé"/>
    <w:basedOn w:val="Normal"/>
    <w:qFormat/>
    <w:rsid w:val="00061F14"/>
    <w:pPr>
      <w:suppressLineNumbers/>
      <w:tabs>
        <w:tab w:val="center" w:pos="4819"/>
        <w:tab w:val="right" w:pos="9638"/>
      </w:tabs>
    </w:pPr>
    <w:rPr>
      <w:rFonts w:cs="Calibri"/>
      <w:lang w:eastAsia="zh-CN"/>
    </w:r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link w:val="CabealhoChar"/>
    <w:unhideWhenUsed/>
    <w:rsid w:val="00E675F8"/>
    <w:pPr>
      <w:tabs>
        <w:tab w:val="center" w:pos="4252"/>
        <w:tab w:val="right" w:pos="8504"/>
      </w:tabs>
      <w:spacing w:after="0" w:line="240" w:lineRule="auto"/>
    </w:pPr>
  </w:style>
  <w:style w:type="paragraph" w:styleId="Rodap">
    <w:name w:val="footer"/>
    <w:basedOn w:val="Normal"/>
    <w:link w:val="RodapChar"/>
    <w:unhideWhenUsed/>
    <w:rsid w:val="00E675F8"/>
    <w:pPr>
      <w:tabs>
        <w:tab w:val="center" w:pos="4252"/>
        <w:tab w:val="right" w:pos="8504"/>
      </w:tabs>
      <w:spacing w:after="0" w:line="240" w:lineRule="auto"/>
    </w:pPr>
  </w:style>
  <w:style w:type="paragraph" w:styleId="Textodebalo">
    <w:name w:val="Balloon Text"/>
    <w:basedOn w:val="Normal"/>
    <w:link w:val="TextodebaloChar"/>
    <w:unhideWhenUsed/>
    <w:qFormat/>
    <w:rsid w:val="00E675F8"/>
    <w:pPr>
      <w:spacing w:after="0" w:line="240" w:lineRule="auto"/>
    </w:pPr>
    <w:rPr>
      <w:rFonts w:ascii="Tahoma" w:hAnsi="Tahoma" w:cs="Tahoma"/>
      <w:sz w:val="16"/>
      <w:szCs w:val="16"/>
    </w:rPr>
  </w:style>
  <w:style w:type="paragraph" w:styleId="SemEspaamento">
    <w:name w:val="No Spacing"/>
    <w:link w:val="SemEspaamentoChar"/>
    <w:qFormat/>
    <w:rsid w:val="00E675F8"/>
    <w:rPr>
      <w:rFonts w:eastAsia="Times New Roman"/>
      <w:sz w:val="22"/>
      <w:szCs w:val="22"/>
    </w:rPr>
  </w:style>
  <w:style w:type="paragraph" w:customStyle="1" w:styleId="Corpodetexto21">
    <w:name w:val="Corpo de texto 21"/>
    <w:basedOn w:val="Normal"/>
    <w:qFormat/>
    <w:rsid w:val="00EB667F"/>
    <w:pPr>
      <w:widowControl w:val="0"/>
      <w:overflowPunct w:val="0"/>
      <w:spacing w:after="0" w:line="360" w:lineRule="auto"/>
      <w:ind w:firstLine="239"/>
      <w:jc w:val="both"/>
      <w:textAlignment w:val="baseline"/>
    </w:pPr>
    <w:rPr>
      <w:rFonts w:ascii="Times New Roman" w:eastAsia="Times New Roman" w:hAnsi="Times New Roman"/>
      <w:szCs w:val="20"/>
    </w:rPr>
  </w:style>
  <w:style w:type="paragraph" w:styleId="Corpodetexto3">
    <w:name w:val="Body Text 3"/>
    <w:basedOn w:val="Normal"/>
    <w:link w:val="Corpodetexto3Char"/>
    <w:qFormat/>
    <w:rsid w:val="00EB667F"/>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val="0"/>
      <w:spacing w:after="0" w:line="240" w:lineRule="auto"/>
      <w:jc w:val="both"/>
      <w:textAlignment w:val="baseline"/>
    </w:pPr>
    <w:rPr>
      <w:rFonts w:ascii="Arial" w:eastAsia="Times New Roman" w:hAnsi="Arial" w:cs="Arial"/>
      <w:szCs w:val="20"/>
    </w:rPr>
  </w:style>
  <w:style w:type="paragraph" w:styleId="Corpodetexto2">
    <w:name w:val="Body Text 2"/>
    <w:basedOn w:val="Normal"/>
    <w:link w:val="Corpodetexto2Char"/>
    <w:qFormat/>
    <w:rsid w:val="00EB667F"/>
    <w:pPr>
      <w:tabs>
        <w:tab w:val="left" w:pos="851"/>
      </w:tabs>
      <w:overflowPunct w:val="0"/>
      <w:spacing w:after="0" w:line="240" w:lineRule="auto"/>
      <w:jc w:val="both"/>
      <w:textAlignment w:val="baseline"/>
    </w:pPr>
    <w:rPr>
      <w:rFonts w:ascii="Arial" w:eastAsia="Times New Roman" w:hAnsi="Arial" w:cs="Arial"/>
      <w:b/>
      <w:szCs w:val="20"/>
    </w:rPr>
  </w:style>
  <w:style w:type="paragraph" w:styleId="Recuodecorpodetexto3">
    <w:name w:val="Body Text Indent 3"/>
    <w:basedOn w:val="Normal"/>
    <w:link w:val="Recuodecorpodetexto3Char"/>
    <w:qFormat/>
    <w:rsid w:val="00EB667F"/>
    <w:pPr>
      <w:overflowPunct w:val="0"/>
      <w:spacing w:after="120" w:line="240" w:lineRule="auto"/>
      <w:ind w:left="283"/>
      <w:textAlignment w:val="baseline"/>
    </w:pPr>
    <w:rPr>
      <w:rFonts w:ascii="Times New Roman" w:eastAsia="Times New Roman" w:hAnsi="Times New Roman"/>
      <w:sz w:val="16"/>
      <w:szCs w:val="16"/>
      <w:lang w:eastAsia="pt-BR"/>
    </w:rPr>
  </w:style>
  <w:style w:type="paragraph" w:styleId="PargrafodaLista">
    <w:name w:val="List Paragraph"/>
    <w:basedOn w:val="Normal"/>
    <w:qFormat/>
    <w:rsid w:val="00EB667F"/>
    <w:pPr>
      <w:ind w:left="720"/>
      <w:contextualSpacing/>
    </w:pPr>
    <w:rPr>
      <w:rFonts w:eastAsia="Times New Roman"/>
      <w:lang w:eastAsia="pt-BR"/>
    </w:rPr>
  </w:style>
  <w:style w:type="paragraph" w:customStyle="1" w:styleId="Corpodetexto22">
    <w:name w:val="Corpo de texto 22"/>
    <w:basedOn w:val="Normal"/>
    <w:qFormat/>
    <w:rsid w:val="00AC4283"/>
    <w:pPr>
      <w:widowControl w:val="0"/>
      <w:overflowPunct w:val="0"/>
      <w:spacing w:after="0" w:line="360" w:lineRule="auto"/>
      <w:ind w:firstLine="239"/>
      <w:jc w:val="both"/>
      <w:textAlignment w:val="baseline"/>
    </w:pPr>
    <w:rPr>
      <w:rFonts w:ascii="Times New Roman" w:eastAsia="Times New Roman" w:hAnsi="Times New Roman"/>
      <w:szCs w:val="20"/>
    </w:rPr>
  </w:style>
  <w:style w:type="paragraph" w:customStyle="1" w:styleId="PargrafodaLista1">
    <w:name w:val="Parágrafo da Lista1"/>
    <w:basedOn w:val="Normal"/>
    <w:qFormat/>
    <w:rsid w:val="00587591"/>
    <w:pPr>
      <w:widowControl w:val="0"/>
      <w:spacing w:after="0"/>
    </w:pPr>
    <w:rPr>
      <w:rFonts w:cs="font1255"/>
      <w:lang w:val="en-US" w:eastAsia="zh-CN"/>
    </w:rPr>
  </w:style>
  <w:style w:type="paragraph" w:customStyle="1" w:styleId="PargrafodaLista2">
    <w:name w:val="Parágrafo da Lista2"/>
    <w:basedOn w:val="Normal"/>
    <w:qFormat/>
    <w:rsid w:val="00A91AD2"/>
    <w:pPr>
      <w:widowControl w:val="0"/>
      <w:spacing w:after="0"/>
    </w:pPr>
    <w:rPr>
      <w:rFonts w:cs="font1255"/>
      <w:lang w:val="en-US" w:eastAsia="zh-CN"/>
    </w:rPr>
  </w:style>
  <w:style w:type="paragraph" w:customStyle="1" w:styleId="PargrafodaLista3">
    <w:name w:val="Parágrafo da Lista3"/>
    <w:basedOn w:val="Normal"/>
    <w:qFormat/>
    <w:rsid w:val="00247109"/>
    <w:pPr>
      <w:widowControl w:val="0"/>
      <w:spacing w:after="0"/>
    </w:pPr>
    <w:rPr>
      <w:rFonts w:cs="font1252"/>
      <w:lang w:val="en-US" w:eastAsia="zh-CN"/>
    </w:rPr>
  </w:style>
  <w:style w:type="paragraph" w:styleId="Textodecomentrio">
    <w:name w:val="annotation text"/>
    <w:basedOn w:val="Normal"/>
    <w:link w:val="TextodecomentrioChar"/>
    <w:uiPriority w:val="99"/>
    <w:semiHidden/>
    <w:unhideWhenUsed/>
    <w:qFormat/>
    <w:rsid w:val="00787AE5"/>
    <w:pPr>
      <w:spacing w:line="240" w:lineRule="auto"/>
    </w:pPr>
    <w:rPr>
      <w:sz w:val="20"/>
      <w:szCs w:val="20"/>
    </w:rPr>
  </w:style>
  <w:style w:type="paragraph" w:styleId="Assuntodocomentrio">
    <w:name w:val="annotation subject"/>
    <w:basedOn w:val="Textodecomentrio"/>
    <w:next w:val="Textodecomentrio"/>
    <w:link w:val="AssuntodocomentrioChar"/>
    <w:unhideWhenUsed/>
    <w:qFormat/>
    <w:rsid w:val="00787AE5"/>
    <w:rPr>
      <w:b/>
      <w:bCs/>
    </w:rPr>
  </w:style>
  <w:style w:type="paragraph" w:styleId="Reviso">
    <w:name w:val="Revision"/>
    <w:uiPriority w:val="99"/>
    <w:semiHidden/>
    <w:qFormat/>
    <w:rsid w:val="00216D71"/>
    <w:rPr>
      <w:sz w:val="22"/>
      <w:szCs w:val="22"/>
      <w:lang w:eastAsia="en-US"/>
    </w:rPr>
  </w:style>
  <w:style w:type="paragraph" w:styleId="NormalWeb">
    <w:name w:val="Normal (Web)"/>
    <w:basedOn w:val="Normal"/>
    <w:uiPriority w:val="99"/>
    <w:semiHidden/>
    <w:unhideWhenUsed/>
    <w:qFormat/>
    <w:rsid w:val="006E21CF"/>
    <w:pPr>
      <w:spacing w:beforeAutospacing="1" w:afterAutospacing="1" w:line="240" w:lineRule="auto"/>
    </w:pPr>
    <w:rPr>
      <w:rFonts w:ascii="Times New Roman" w:eastAsia="Times New Roman" w:hAnsi="Times New Roman"/>
      <w:sz w:val="24"/>
      <w:szCs w:val="24"/>
      <w:lang w:eastAsia="pt-BR"/>
    </w:rPr>
  </w:style>
  <w:style w:type="paragraph" w:customStyle="1" w:styleId="Ttulo4">
    <w:name w:val="Título4"/>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Caption1">
    <w:name w:val="Caption1"/>
    <w:basedOn w:val="Normal"/>
    <w:qFormat/>
    <w:rsid w:val="00061F14"/>
    <w:pPr>
      <w:suppressLineNumbers/>
      <w:spacing w:before="120" w:after="120"/>
    </w:pPr>
    <w:rPr>
      <w:rFonts w:ascii="Arial" w:hAnsi="Arial" w:cs="Arial"/>
      <w:i/>
      <w:iCs/>
      <w:sz w:val="24"/>
      <w:szCs w:val="24"/>
      <w:lang w:eastAsia="zh-CN"/>
    </w:rPr>
  </w:style>
  <w:style w:type="paragraph" w:customStyle="1" w:styleId="Caption11">
    <w:name w:val="Caption11"/>
    <w:basedOn w:val="Normal"/>
    <w:qFormat/>
    <w:rsid w:val="00061F14"/>
    <w:pPr>
      <w:suppressLineNumbers/>
      <w:spacing w:before="120" w:after="120"/>
    </w:pPr>
    <w:rPr>
      <w:rFonts w:cs="Arial"/>
      <w:i/>
      <w:iCs/>
      <w:sz w:val="24"/>
      <w:szCs w:val="24"/>
      <w:lang w:eastAsia="zh-CN"/>
    </w:rPr>
  </w:style>
  <w:style w:type="paragraph" w:customStyle="1" w:styleId="Ttulo3">
    <w:name w:val="Título3"/>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Ttulo2">
    <w:name w:val="Título2"/>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Ttulo10">
    <w:name w:val="Título1"/>
    <w:basedOn w:val="Normal"/>
    <w:next w:val="Corpodetexto"/>
    <w:qFormat/>
    <w:rsid w:val="00061F14"/>
    <w:pPr>
      <w:spacing w:after="0" w:line="240" w:lineRule="auto"/>
      <w:jc w:val="center"/>
    </w:pPr>
    <w:rPr>
      <w:rFonts w:ascii="Times New Roman" w:eastAsia="Times New Roman" w:hAnsi="Times New Roman"/>
      <w:b/>
      <w:bCs/>
      <w:sz w:val="28"/>
      <w:szCs w:val="24"/>
      <w:lang w:eastAsia="zh-CN"/>
    </w:rPr>
  </w:style>
  <w:style w:type="paragraph" w:customStyle="1" w:styleId="Cabealhoerodap11">
    <w:name w:val="Cabeçalho e rodapé11"/>
    <w:basedOn w:val="Normal"/>
    <w:qFormat/>
    <w:rsid w:val="00061F14"/>
    <w:pPr>
      <w:suppressLineNumbers/>
      <w:tabs>
        <w:tab w:val="center" w:pos="4819"/>
        <w:tab w:val="right" w:pos="9638"/>
      </w:tabs>
    </w:pPr>
    <w:rPr>
      <w:rFonts w:cs="Calibri"/>
      <w:lang w:eastAsia="zh-CN"/>
    </w:rPr>
  </w:style>
  <w:style w:type="paragraph" w:customStyle="1" w:styleId="Cabealhoerodap21">
    <w:name w:val="Cabeçalho e rodapé21"/>
    <w:basedOn w:val="Normal"/>
    <w:qFormat/>
    <w:rsid w:val="00061F14"/>
    <w:pPr>
      <w:suppressLineNumbers/>
      <w:tabs>
        <w:tab w:val="center" w:pos="4819"/>
        <w:tab w:val="right" w:pos="9638"/>
      </w:tabs>
    </w:pPr>
    <w:rPr>
      <w:rFonts w:cs="Calibri"/>
      <w:lang w:eastAsia="zh-CN"/>
    </w:rPr>
  </w:style>
  <w:style w:type="paragraph" w:customStyle="1" w:styleId="Cabealhoerodap31">
    <w:name w:val="Cabeçalho e rodapé31"/>
    <w:basedOn w:val="Normal"/>
    <w:qFormat/>
    <w:rsid w:val="00061F14"/>
    <w:pPr>
      <w:suppressLineNumbers/>
      <w:tabs>
        <w:tab w:val="center" w:pos="4819"/>
        <w:tab w:val="right" w:pos="9638"/>
      </w:tabs>
    </w:pPr>
    <w:rPr>
      <w:rFonts w:cs="Calibri"/>
      <w:lang w:eastAsia="zh-CN"/>
    </w:rPr>
  </w:style>
  <w:style w:type="paragraph" w:customStyle="1" w:styleId="Contedodatabela">
    <w:name w:val="Conteúdo da tabela"/>
    <w:basedOn w:val="Normal"/>
    <w:qFormat/>
    <w:rsid w:val="00061F14"/>
    <w:pPr>
      <w:widowControl w:val="0"/>
      <w:suppressLineNumbers/>
    </w:pPr>
    <w:rPr>
      <w:rFonts w:cs="Calibri"/>
      <w:lang w:eastAsia="zh-CN"/>
    </w:rPr>
  </w:style>
  <w:style w:type="paragraph" w:customStyle="1" w:styleId="Ttulodetabela">
    <w:name w:val="Título de tabela"/>
    <w:basedOn w:val="Contedodatabela"/>
    <w:qFormat/>
    <w:rsid w:val="00061F14"/>
    <w:pPr>
      <w:jc w:val="center"/>
    </w:pPr>
    <w:rPr>
      <w:b/>
      <w:bCs/>
    </w:rPr>
  </w:style>
  <w:style w:type="paragraph" w:customStyle="1" w:styleId="Nivel2">
    <w:name w:val="Nivel 2"/>
    <w:basedOn w:val="Normal"/>
    <w:qFormat/>
    <w:rsid w:val="00061F14"/>
    <w:pPr>
      <w:numPr>
        <w:numId w:val="3"/>
      </w:numPr>
      <w:spacing w:before="120" w:after="120"/>
      <w:jc w:val="both"/>
    </w:pPr>
    <w:rPr>
      <w:rFonts w:ascii="Arial" w:eastAsia="Arial" w:hAnsi="Arial" w:cs="Arial"/>
      <w:color w:val="000000"/>
      <w:sz w:val="20"/>
      <w:szCs w:val="20"/>
      <w:lang w:eastAsia="zh-CN"/>
    </w:rPr>
  </w:style>
  <w:style w:type="paragraph" w:customStyle="1" w:styleId="Nvel2-Red">
    <w:name w:val="Nível 2 -Red"/>
    <w:basedOn w:val="Nivel2"/>
    <w:qFormat/>
    <w:rsid w:val="00061F14"/>
    <w:rPr>
      <w:i/>
      <w:iCs/>
      <w:color w:val="FF0000"/>
    </w:rPr>
  </w:style>
  <w:style w:type="paragraph" w:customStyle="1" w:styleId="Nivel01">
    <w:name w:val="Nivel 01"/>
    <w:basedOn w:val="Ttulo1"/>
    <w:next w:val="Normal"/>
    <w:qFormat/>
    <w:rsid w:val="00061F14"/>
    <w:pPr>
      <w:numPr>
        <w:numId w:val="0"/>
      </w:numPr>
      <w:tabs>
        <w:tab w:val="left" w:pos="567"/>
      </w:tabs>
      <w:spacing w:before="240" w:after="120"/>
      <w:jc w:val="both"/>
      <w:outlineLvl w:val="9"/>
    </w:pPr>
    <w:rPr>
      <w:rFonts w:ascii="Arial" w:hAnsi="Arial" w:cs="Arial"/>
      <w:color w:val="auto"/>
      <w:sz w:val="20"/>
      <w:szCs w:val="20"/>
    </w:rPr>
  </w:style>
  <w:style w:type="paragraph" w:customStyle="1" w:styleId="Nvel1-SemNum">
    <w:name w:val="Nível 1-Sem Num"/>
    <w:basedOn w:val="Nivel01"/>
    <w:qFormat/>
    <w:rsid w:val="00061F14"/>
    <w:rPr>
      <w:color w:val="FF0000"/>
    </w:rPr>
  </w:style>
  <w:style w:type="paragraph" w:customStyle="1" w:styleId="Nvel1-SemNumPreto">
    <w:name w:val="Nível 1-Sem Num Preto"/>
    <w:basedOn w:val="Nvel1-SemNum"/>
    <w:qFormat/>
    <w:rsid w:val="00061F14"/>
    <w:rPr>
      <w:color w:val="auto"/>
      <w:lang w:bidi="hi-IN"/>
    </w:rPr>
  </w:style>
  <w:style w:type="paragraph" w:customStyle="1" w:styleId="Nivel3">
    <w:name w:val="Nivel 3"/>
    <w:basedOn w:val="Normal"/>
    <w:qFormat/>
    <w:rsid w:val="00061F14"/>
    <w:pPr>
      <w:numPr>
        <w:numId w:val="2"/>
      </w:numPr>
      <w:spacing w:before="120" w:after="120"/>
      <w:jc w:val="both"/>
    </w:pPr>
    <w:rPr>
      <w:rFonts w:ascii="Arial" w:hAnsi="Arial" w:cs="Arial"/>
      <w:color w:val="000000"/>
      <w:sz w:val="20"/>
      <w:szCs w:val="20"/>
      <w:lang w:eastAsia="zh-CN"/>
    </w:rPr>
  </w:style>
  <w:style w:type="paragraph" w:customStyle="1" w:styleId="Textodecomentrio1">
    <w:name w:val="Texto de comentário1"/>
    <w:basedOn w:val="Normal"/>
    <w:qFormat/>
    <w:rsid w:val="00061F14"/>
    <w:rPr>
      <w:rFonts w:cs="Calibri"/>
      <w:sz w:val="20"/>
      <w:szCs w:val="20"/>
      <w:lang w:eastAsia="zh-CN"/>
    </w:rPr>
  </w:style>
  <w:style w:type="paragraph" w:customStyle="1" w:styleId="Textodecomentrio2">
    <w:name w:val="Texto de comentário2"/>
    <w:basedOn w:val="Normal"/>
    <w:qFormat/>
    <w:rsid w:val="00061F14"/>
    <w:rPr>
      <w:rFonts w:cs="Calibri"/>
      <w:sz w:val="20"/>
      <w:szCs w:val="20"/>
      <w:lang w:eastAsia="zh-CN"/>
    </w:rPr>
  </w:style>
  <w:style w:type="paragraph" w:customStyle="1" w:styleId="PargrafodaLista4">
    <w:name w:val="Parágrafo da Lista4"/>
    <w:basedOn w:val="Normal"/>
    <w:qFormat/>
    <w:rsid w:val="00061F14"/>
    <w:pPr>
      <w:widowControl w:val="0"/>
      <w:spacing w:before="119" w:after="0"/>
      <w:ind w:left="220"/>
      <w:jc w:val="both"/>
    </w:pPr>
    <w:rPr>
      <w:rFonts w:cs="Calibri"/>
      <w:lang w:val="pt-PT" w:eastAsia="zh-CN"/>
    </w:rPr>
  </w:style>
  <w:style w:type="paragraph" w:customStyle="1" w:styleId="Standard">
    <w:name w:val="Standard"/>
    <w:qFormat/>
    <w:rsid w:val="00061F14"/>
    <w:pPr>
      <w:widowControl w:val="0"/>
      <w:textAlignment w:val="baseline"/>
    </w:pPr>
    <w:rPr>
      <w:rFonts w:ascii="Times New Roman" w:eastAsia="Arial Unicode MS" w:hAnsi="Times New Roman" w:cs="Tahoma"/>
      <w:kern w:val="2"/>
      <w:sz w:val="24"/>
      <w:szCs w:val="24"/>
      <w:lang w:eastAsia="zh-CN" w:bidi="hi-IN"/>
    </w:rPr>
  </w:style>
  <w:style w:type="paragraph" w:customStyle="1" w:styleId="Default">
    <w:name w:val="Default"/>
    <w:qFormat/>
    <w:rsid w:val="00061F14"/>
    <w:rPr>
      <w:rFonts w:ascii="Times New Roman" w:eastAsia="Times New Roman" w:hAnsi="Times New Roman"/>
      <w:color w:val="000000"/>
      <w:sz w:val="24"/>
      <w:szCs w:val="24"/>
      <w:lang w:eastAsia="zh-CN"/>
    </w:rPr>
  </w:style>
  <w:style w:type="paragraph" w:customStyle="1" w:styleId="SemEspaamento1">
    <w:name w:val="Sem Espaçamento1"/>
    <w:qFormat/>
    <w:rsid w:val="00061F14"/>
    <w:pPr>
      <w:spacing w:after="160" w:line="252" w:lineRule="auto"/>
    </w:pPr>
    <w:rPr>
      <w:rFonts w:eastAsia="Times New Roman" w:cs="Calibri"/>
      <w:sz w:val="22"/>
      <w:szCs w:val="22"/>
      <w:lang w:eastAsia="zh-CN"/>
    </w:rPr>
  </w:style>
  <w:style w:type="paragraph" w:customStyle="1" w:styleId="Textodecomentrio3">
    <w:name w:val="Texto de comentário3"/>
    <w:basedOn w:val="Normal"/>
    <w:qFormat/>
    <w:rsid w:val="00061F14"/>
    <w:rPr>
      <w:rFonts w:cs="Calibri"/>
      <w:sz w:val="20"/>
      <w:szCs w:val="20"/>
      <w:lang w:eastAsia="zh-CN"/>
    </w:rPr>
  </w:style>
  <w:style w:type="paragraph" w:customStyle="1" w:styleId="caption12">
    <w:name w:val="caption12"/>
    <w:basedOn w:val="Normal"/>
    <w:qFormat/>
    <w:rsid w:val="00061F14"/>
    <w:pPr>
      <w:spacing w:before="120" w:after="120"/>
    </w:pPr>
    <w:rPr>
      <w:rFonts w:cs="Arial"/>
      <w:i/>
      <w:iCs/>
    </w:rPr>
  </w:style>
  <w:style w:type="paragraph" w:styleId="Recuodecorpodetexto">
    <w:name w:val="Body Text Indent"/>
    <w:basedOn w:val="Normal"/>
    <w:link w:val="RecuodecorpodetextoChar"/>
    <w:rsid w:val="00061F14"/>
    <w:pPr>
      <w:spacing w:after="0" w:line="240" w:lineRule="auto"/>
      <w:ind w:left="1134" w:hanging="993"/>
      <w:jc w:val="both"/>
    </w:pPr>
    <w:rPr>
      <w:rFonts w:ascii="Times New Roman" w:eastAsia="Times New Roman" w:hAnsi="Times New Roman"/>
      <w:sz w:val="28"/>
      <w:szCs w:val="20"/>
      <w:lang w:eastAsia="pt-BR"/>
    </w:rPr>
  </w:style>
  <w:style w:type="paragraph" w:customStyle="1" w:styleId="Tabelanormal1">
    <w:name w:val="Tabela normal1"/>
    <w:qFormat/>
    <w:rsid w:val="00061F14"/>
  </w:style>
  <w:style w:type="paragraph" w:customStyle="1" w:styleId="Textbody">
    <w:name w:val="Text body"/>
    <w:basedOn w:val="Standard"/>
    <w:link w:val="CorpodetextoChar"/>
    <w:qFormat/>
    <w:rsid w:val="00061F14"/>
    <w:pPr>
      <w:spacing w:after="120"/>
    </w:pPr>
    <w:rPr>
      <w:lang w:eastAsia="hi-IN"/>
    </w:rPr>
  </w:style>
  <w:style w:type="paragraph" w:customStyle="1" w:styleId="Contedodoquadro">
    <w:name w:val="Conteúdo do quadro"/>
    <w:basedOn w:val="Normal"/>
    <w:qFormat/>
  </w:style>
  <w:style w:type="numbering" w:customStyle="1" w:styleId="Semlistauser">
    <w:name w:val="Sem lista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s://www.tcees.tc.br/portal-da-transparencia/consultas/listade-responsaveis/proibidos-de-contrata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iga.es.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07-2010/2009/lei/l12187.htm" TargetMode="External"/><Relationship Id="rId5" Type="http://schemas.openxmlformats.org/officeDocument/2006/relationships/webSettings" Target="webSettings.xml"/><Relationship Id="rId15" Type="http://schemas.openxmlformats.org/officeDocument/2006/relationships/hyperlink" Target="mailto:licitacao@saogabriel.es.gov.br" TargetMode="External"/><Relationship Id="rId23" Type="http://schemas.openxmlformats.org/officeDocument/2006/relationships/theme" Target="theme/theme1.xml"/><Relationship Id="rId10" Type="http://schemas.openxmlformats.org/officeDocument/2006/relationships/hyperlink" Target="mailto:saogabrielprev@gmail.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hyperlink" Target="https://portaldatransparencia.gov.br/sancoes/consulta?cadastro=1&amp;ordenarPor=nomeSancionado&amp;direcao=asc"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71FB-2ECD-471D-830D-E4EBF8D60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23</Pages>
  <Words>9510</Words>
  <Characters>51358</Characters>
  <Application>Microsoft Office Word</Application>
  <DocSecurity>0</DocSecurity>
  <Lines>427</Lines>
  <Paragraphs>121</Paragraphs>
  <ScaleCrop>false</ScaleCrop>
  <Company/>
  <LinksUpToDate>false</LinksUpToDate>
  <CharactersWithSpaces>60747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dc:creator>
  <dc:description/>
  <cp:lastModifiedBy>Erliton de Mello Braz</cp:lastModifiedBy>
  <cp:revision>59</cp:revision>
  <cp:lastPrinted>2026-01-27T18:35:00Z</cp:lastPrinted>
  <dcterms:created xsi:type="dcterms:W3CDTF">2024-08-15T03:00:00Z</dcterms:created>
  <dcterms:modified xsi:type="dcterms:W3CDTF">2026-01-27T18:49:00Z</dcterms:modified>
  <dc:language>pt-BR</dc:language>
</cp:coreProperties>
</file>